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eastAsia="方正小标宋简体"/>
          <w:sz w:val="44"/>
          <w:szCs w:val="44"/>
        </w:rPr>
      </w:pPr>
    </w:p>
    <w:p>
      <w:pPr>
        <w:spacing w:line="620" w:lineRule="exact"/>
        <w:jc w:val="center"/>
        <w:rPr>
          <w:rFonts w:eastAsia="方正小标宋简体"/>
          <w:sz w:val="44"/>
          <w:szCs w:val="44"/>
        </w:rPr>
      </w:pPr>
      <w:r>
        <w:rPr>
          <w:rFonts w:eastAsia="方正小标宋简体"/>
          <w:sz w:val="44"/>
          <w:szCs w:val="44"/>
        </w:rPr>
        <w:t>遂宁市财政局</w:t>
      </w:r>
    </w:p>
    <w:p>
      <w:pPr>
        <w:spacing w:line="620" w:lineRule="exact"/>
        <w:jc w:val="center"/>
        <w:rPr>
          <w:rFonts w:eastAsia="方正小标宋简体"/>
          <w:sz w:val="44"/>
          <w:szCs w:val="44"/>
        </w:rPr>
      </w:pPr>
      <w:r>
        <w:rPr>
          <w:rFonts w:eastAsia="方正小标宋简体"/>
          <w:sz w:val="44"/>
          <w:szCs w:val="44"/>
        </w:rPr>
        <w:t>关于审计查出问题整改情况的报告</w:t>
      </w:r>
    </w:p>
    <w:p>
      <w:pPr>
        <w:spacing w:line="620" w:lineRule="exact"/>
        <w:jc w:val="center"/>
        <w:rPr>
          <w:rFonts w:eastAsia="方正小标宋简体"/>
          <w:sz w:val="44"/>
          <w:szCs w:val="44"/>
        </w:rPr>
      </w:pPr>
    </w:p>
    <w:p>
      <w:pPr>
        <w:spacing w:line="594" w:lineRule="exact"/>
        <w:ind w:firstLine="640" w:firstLineChars="200"/>
        <w:textAlignment w:val="center"/>
        <w:rPr>
          <w:szCs w:val="32"/>
        </w:rPr>
      </w:pPr>
      <w:r>
        <w:rPr>
          <w:rFonts w:hint="eastAsia" w:ascii="仿宋_GB2312" w:eastAsia="仿宋_GB2312"/>
          <w:sz w:val="32"/>
          <w:szCs w:val="32"/>
        </w:rPr>
        <w:t>按照有关法律规定</w:t>
      </w:r>
      <w:r>
        <w:rPr>
          <w:rFonts w:hint="eastAsia" w:ascii="仿宋_GB2312"/>
          <w:sz w:val="32"/>
          <w:szCs w:val="32"/>
          <w:lang w:eastAsia="zh-CN"/>
        </w:rPr>
        <w:t>，</w:t>
      </w:r>
      <w:r>
        <w:rPr>
          <w:szCs w:val="32"/>
        </w:rPr>
        <w:t>针对《审计报告》（遂审农报〔2021〕10号）所提问题，</w:t>
      </w:r>
      <w:r>
        <w:rPr>
          <w:rFonts w:hint="eastAsia" w:ascii="仿宋_GB2312" w:eastAsia="仿宋_GB2312"/>
          <w:sz w:val="32"/>
          <w:szCs w:val="32"/>
        </w:rPr>
        <w:t>现就</w:t>
      </w:r>
      <w:r>
        <w:rPr>
          <w:szCs w:val="32"/>
        </w:rPr>
        <w:t>国有土地使用权出让收支审计</w:t>
      </w:r>
      <w:r>
        <w:rPr>
          <w:rFonts w:hint="eastAsia" w:ascii="仿宋_GB2312" w:eastAsia="仿宋_GB2312"/>
          <w:sz w:val="32"/>
          <w:szCs w:val="32"/>
        </w:rPr>
        <w:t>查出问题的整改情况报告如下。</w:t>
      </w:r>
    </w:p>
    <w:p>
      <w:pPr>
        <w:numPr>
          <w:ilvl w:val="0"/>
          <w:numId w:val="1"/>
        </w:numPr>
        <w:spacing w:line="620" w:lineRule="exact"/>
        <w:ind w:firstLine="640" w:firstLineChars="200"/>
        <w:rPr>
          <w:rFonts w:eastAsia="黑体"/>
        </w:rPr>
      </w:pPr>
      <w:r>
        <w:rPr>
          <w:rFonts w:eastAsia="黑体"/>
        </w:rPr>
        <w:t>整改情况</w:t>
      </w:r>
    </w:p>
    <w:p>
      <w:pPr>
        <w:spacing w:line="620" w:lineRule="exact"/>
        <w:ind w:firstLine="640" w:firstLineChars="200"/>
        <w:rPr>
          <w:rFonts w:eastAsia="楷体_GB2312"/>
          <w:szCs w:val="32"/>
        </w:rPr>
      </w:pPr>
      <w:r>
        <w:rPr>
          <w:rFonts w:eastAsia="楷体_GB2312"/>
          <w:szCs w:val="32"/>
        </w:rPr>
        <w:t>（一）支出方面存在的问题</w:t>
      </w:r>
    </w:p>
    <w:p>
      <w:pPr>
        <w:spacing w:line="620" w:lineRule="exact"/>
        <w:ind w:firstLine="640" w:firstLineChars="200"/>
        <w:rPr>
          <w:b/>
          <w:szCs w:val="32"/>
        </w:rPr>
      </w:pPr>
      <w:r>
        <w:rPr>
          <w:b/>
          <w:szCs w:val="32"/>
        </w:rPr>
        <w:t>1.</w:t>
      </w:r>
      <w:r>
        <w:rPr>
          <w:rFonts w:hint="eastAsia"/>
          <w:b/>
          <w:szCs w:val="32"/>
        </w:rPr>
        <w:t xml:space="preserve"> </w:t>
      </w:r>
      <w:r>
        <w:rPr>
          <w:b/>
          <w:szCs w:val="32"/>
        </w:rPr>
        <w:t>超范围列支土地出让收入</w:t>
      </w:r>
    </w:p>
    <w:p>
      <w:pPr>
        <w:spacing w:line="620" w:lineRule="exact"/>
        <w:ind w:firstLine="640" w:firstLineChars="200"/>
        <w:rPr>
          <w:szCs w:val="32"/>
        </w:rPr>
      </w:pPr>
      <w:r>
        <w:rPr>
          <w:szCs w:val="32"/>
        </w:rPr>
        <w:t>整改情况：已整改完成。我局将</w:t>
      </w:r>
      <w:r>
        <w:rPr>
          <w:rFonts w:hint="eastAsia"/>
          <w:szCs w:val="32"/>
          <w:lang w:eastAsia="zh-CN"/>
        </w:rPr>
        <w:t>严格</w:t>
      </w:r>
      <w:r>
        <w:rPr>
          <w:szCs w:val="32"/>
        </w:rPr>
        <w:t>按照财政部门预算编制有关要求，会同相关部门</w:t>
      </w:r>
      <w:r>
        <w:rPr>
          <w:rFonts w:hint="eastAsia"/>
          <w:szCs w:val="32"/>
          <w:lang w:eastAsia="zh-CN"/>
        </w:rPr>
        <w:t>（单位</w:t>
      </w:r>
      <w:bookmarkStart w:id="0" w:name="_GoBack"/>
      <w:bookmarkEnd w:id="0"/>
      <w:r>
        <w:rPr>
          <w:rFonts w:hint="eastAsia"/>
          <w:szCs w:val="32"/>
          <w:lang w:eastAsia="zh-CN"/>
        </w:rPr>
        <w:t>）</w:t>
      </w:r>
      <w:r>
        <w:rPr>
          <w:szCs w:val="32"/>
        </w:rPr>
        <w:t>科学合理编制2022年部门预算，规范基本支出和项目支出编制，对可干可不干的项目一律不安排；严格预算执行，增强预算约束力，做到无预算不支出，牢固树立过紧日子的工作作风，有效降低行政运行经费，避免土地出让业务费超范围列支。同时，严格按照《国务院办公厅关于规范国有土地使用权出让收支管理的通知》（国办发〔2006〕100号）和《财政部 国土资源部 中国人民银行关于印发〈国有土地使用权出让收支管理办法〉的通知》（财综〔2006〕68）要求，强化国有土地出让收入使用的管理，把好项目的审核前置关，严格按照土地出让收入的规定，将国有土地使用权出让收入主要用于征地拆迁补偿、城镇基础设施建设等，督促项目主管部门科学编制项目，增强项目的合规性和可执行性，按相关规定编制项目资金预算，专款专用，提高土地出让金的使用效益，推动投资项目有序建设。</w:t>
      </w:r>
    </w:p>
    <w:p>
      <w:pPr>
        <w:spacing w:line="620" w:lineRule="exact"/>
        <w:ind w:firstLine="640" w:firstLineChars="200"/>
        <w:rPr>
          <w:rFonts w:eastAsia="楷体_GB2312"/>
          <w:szCs w:val="32"/>
        </w:rPr>
      </w:pPr>
      <w:r>
        <w:rPr>
          <w:rFonts w:eastAsia="楷体_GB2312"/>
          <w:szCs w:val="32"/>
        </w:rPr>
        <w:t>（二）资金管理方面存在的问题</w:t>
      </w:r>
    </w:p>
    <w:p>
      <w:pPr>
        <w:spacing w:line="620" w:lineRule="exact"/>
        <w:ind w:firstLine="640" w:firstLineChars="200"/>
        <w:rPr>
          <w:b/>
          <w:szCs w:val="32"/>
        </w:rPr>
      </w:pPr>
      <w:r>
        <w:rPr>
          <w:b/>
        </w:rPr>
        <w:t>1.</w:t>
      </w:r>
      <w:r>
        <w:rPr>
          <w:rFonts w:hint="eastAsia"/>
          <w:b/>
        </w:rPr>
        <w:t xml:space="preserve"> </w:t>
      </w:r>
      <w:r>
        <w:rPr>
          <w:b/>
          <w:szCs w:val="32"/>
        </w:rPr>
        <w:t>少计提专项资金收入</w:t>
      </w:r>
    </w:p>
    <w:p>
      <w:pPr>
        <w:spacing w:line="620" w:lineRule="exact"/>
        <w:ind w:firstLine="640" w:firstLineChars="200"/>
        <w:rPr>
          <w:szCs w:val="32"/>
        </w:rPr>
      </w:pPr>
      <w:r>
        <w:rPr>
          <w:szCs w:val="32"/>
        </w:rPr>
        <w:t>整改情况：已整改完成。今后的工作中，我局将严格执行《财政部 教育部关于从土地出让收益中计提教育资金有关事项的通知》（财综〔2011〕62号）、《财政部关于印发〈廉租住房保障资金管理办法〉》（财综〔2007〕64号）和《财政部水利部关于从土地出让收益中计提农田水利建设资金有关事项的通知》（财综〔2011〕48号）的规定，加强对市直园区、单位（部门）土地出让收入支出的监管，避免扩大成本性支出范围引起专项基金计提收益减小，杜绝此类问题再次发生。</w:t>
      </w:r>
    </w:p>
    <w:p>
      <w:pPr>
        <w:spacing w:line="620" w:lineRule="exact"/>
        <w:ind w:firstLine="640" w:firstLineChars="200"/>
        <w:rPr>
          <w:b/>
          <w:szCs w:val="32"/>
        </w:rPr>
      </w:pPr>
      <w:r>
        <w:rPr>
          <w:b/>
          <w:szCs w:val="32"/>
        </w:rPr>
        <w:t>2.</w:t>
      </w:r>
      <w:r>
        <w:rPr>
          <w:rFonts w:hint="eastAsia"/>
          <w:b/>
          <w:szCs w:val="32"/>
        </w:rPr>
        <w:t xml:space="preserve"> </w:t>
      </w:r>
      <w:r>
        <w:rPr>
          <w:b/>
          <w:szCs w:val="32"/>
        </w:rPr>
        <w:t>土地出让收入缴库不及时</w:t>
      </w:r>
    </w:p>
    <w:p>
      <w:pPr>
        <w:spacing w:line="620" w:lineRule="exact"/>
        <w:ind w:firstLine="640" w:firstLineChars="200"/>
        <w:rPr>
          <w:szCs w:val="32"/>
        </w:rPr>
      </w:pPr>
      <w:r>
        <w:rPr>
          <w:szCs w:val="32"/>
        </w:rPr>
        <w:t>整改情况：已整改完成。根据《财政部 自然资源部 税务总局 人民银行关于将国有土地使用权出让收入、矿产资源专项收入、海域使用金、无居民海岛使用金四项政府非税收入划转税务部门征收有关问题的通知》（财综〔2021〕19号）和《四川省财政厅 四川省自然资源厅 国家税务总局 四川省税务局 中国人民银行成都分行关于做好国有土地使用权出让收入、矿产资源专项收入划转税务部门征收工作的通知》</w:t>
      </w:r>
      <w:r>
        <w:t>(</w:t>
      </w:r>
      <w:r>
        <w:rPr>
          <w:szCs w:val="32"/>
        </w:rPr>
        <w:t>川财综〔2021〕24号</w:t>
      </w:r>
      <w:r>
        <w:t>)要求，</w:t>
      </w:r>
      <w:r>
        <w:rPr>
          <w:szCs w:val="32"/>
        </w:rPr>
        <w:t>2022年1月1日起，国有土地使用权出让收入划转税务部门负责征收，税务部门负责国有土地使用权出让收入的征缴入库，不再存在土地出让收入缴库不及时问题。</w:t>
      </w:r>
    </w:p>
    <w:p>
      <w:pPr>
        <w:spacing w:line="620" w:lineRule="exact"/>
        <w:ind w:firstLine="640" w:firstLineChars="200"/>
        <w:rPr>
          <w:b/>
          <w:szCs w:val="32"/>
        </w:rPr>
      </w:pPr>
      <w:r>
        <w:rPr>
          <w:b/>
          <w:szCs w:val="32"/>
        </w:rPr>
        <w:t>3.</w:t>
      </w:r>
      <w:r>
        <w:rPr>
          <w:rFonts w:hint="eastAsia"/>
          <w:b/>
          <w:szCs w:val="32"/>
        </w:rPr>
        <w:t xml:space="preserve"> </w:t>
      </w:r>
      <w:r>
        <w:rPr>
          <w:b/>
          <w:szCs w:val="32"/>
        </w:rPr>
        <w:t>违规向财政专户拨付预算安排的土地出让收入</w:t>
      </w:r>
    </w:p>
    <w:p>
      <w:pPr>
        <w:spacing w:line="620" w:lineRule="exact"/>
        <w:ind w:firstLine="640" w:firstLineChars="200"/>
        <w:rPr>
          <w:szCs w:val="32"/>
        </w:rPr>
      </w:pPr>
      <w:r>
        <w:rPr>
          <w:szCs w:val="32"/>
        </w:rPr>
        <w:t>整改情况：已整改完成。我局已对预算安排的土地出让收入转入专户的资金按规定进行拨付、改变使用用途以及退回金库。在今后工作中，我局将严格执行地方国库资金和财政专户资金管理等相关规定，一是督促相关部门和单位加大项目实施力度，加快财政资金支付进度；二是加强财政资金审核，及时完善项目相关资料，避免类似问题再次发生。</w:t>
      </w:r>
    </w:p>
    <w:p>
      <w:pPr>
        <w:spacing w:line="620" w:lineRule="exact"/>
        <w:ind w:firstLine="640" w:firstLineChars="200"/>
        <w:rPr>
          <w:b/>
          <w:szCs w:val="32"/>
        </w:rPr>
      </w:pPr>
      <w:r>
        <w:rPr>
          <w:b/>
          <w:szCs w:val="32"/>
        </w:rPr>
        <w:t>4.</w:t>
      </w:r>
      <w:r>
        <w:rPr>
          <w:rFonts w:hint="eastAsia"/>
          <w:b/>
          <w:szCs w:val="32"/>
        </w:rPr>
        <w:t xml:space="preserve"> </w:t>
      </w:r>
      <w:r>
        <w:rPr>
          <w:b/>
          <w:szCs w:val="32"/>
        </w:rPr>
        <w:t>土地出让收益计提专项资金预算安排不及时</w:t>
      </w:r>
    </w:p>
    <w:p>
      <w:pPr>
        <w:spacing w:line="620" w:lineRule="exact"/>
        <w:ind w:firstLine="640" w:firstLineChars="200"/>
        <w:rPr>
          <w:szCs w:val="32"/>
        </w:rPr>
      </w:pPr>
      <w:r>
        <w:rPr>
          <w:szCs w:val="32"/>
        </w:rPr>
        <w:t>整改情况：已整改完成。在今后的工作中，严格执行《遂宁市人民政府办公室关于印发〈遂宁市市本级财政性资金管理决策程序规定（试行）〉的通知》（遂府办发〔2021〕14号）要求，按照文件规定执行分配决策程序后，市财政局将会同市农业农村局、市住房城乡建设局、</w:t>
      </w:r>
      <w:r>
        <w:rPr>
          <w:color w:val="000000"/>
          <w:szCs w:val="32"/>
        </w:rPr>
        <w:t>市教育体育局加快预算安排进度，防止资金沉淀。</w:t>
      </w:r>
    </w:p>
    <w:p>
      <w:pPr>
        <w:numPr>
          <w:ilvl w:val="0"/>
          <w:numId w:val="1"/>
        </w:numPr>
        <w:spacing w:line="620" w:lineRule="exact"/>
        <w:ind w:firstLine="640" w:firstLineChars="200"/>
        <w:rPr>
          <w:rFonts w:eastAsia="黑体"/>
        </w:rPr>
      </w:pPr>
      <w:r>
        <w:rPr>
          <w:rFonts w:eastAsia="黑体"/>
        </w:rPr>
        <w:t>下一步措施</w:t>
      </w:r>
    </w:p>
    <w:p>
      <w:pPr>
        <w:pStyle w:val="9"/>
        <w:numPr>
          <w:ilvl w:val="0"/>
          <w:numId w:val="2"/>
        </w:numPr>
        <w:rPr>
          <w:rFonts w:eastAsia="仿宋_GB2312"/>
          <w:szCs w:val="32"/>
        </w:rPr>
      </w:pPr>
      <w:r>
        <w:rPr>
          <w:rFonts w:eastAsia="楷体_GB2312"/>
          <w:szCs w:val="32"/>
        </w:rPr>
        <w:t>进一步深化国库集中支付改革。</w:t>
      </w:r>
      <w:r>
        <w:rPr>
          <w:rFonts w:eastAsia="仿宋_GB2312"/>
          <w:szCs w:val="32"/>
        </w:rPr>
        <w:t>严格执行财政部《关于进一步规范地方国库资金和财政专户资金管理的通知》（财库〔2014〕175号）等相关规定，切实加强财政专户资金管理，督促项目主管部门和单位加大项目实施力度，加快财政资金拨付、支付进度，切实提高财政资金使用效益，避免违规向财政专户拨付资金问题再次发生。</w:t>
      </w:r>
    </w:p>
    <w:p>
      <w:pPr>
        <w:numPr>
          <w:ilvl w:val="0"/>
          <w:numId w:val="2"/>
        </w:numPr>
        <w:spacing w:line="620" w:lineRule="exact"/>
        <w:ind w:firstLine="640"/>
      </w:pPr>
      <w:r>
        <w:rPr>
          <w:rFonts w:eastAsia="楷体_GB2312"/>
          <w:szCs w:val="32"/>
        </w:rPr>
        <w:t>提高国有土地使用权出让收支管理水平</w:t>
      </w:r>
      <w:r>
        <w:t>。严格落实土地出让收支管理的各项规定，提高政府性基金</w:t>
      </w:r>
      <w:r>
        <w:rPr>
          <w:szCs w:val="32"/>
        </w:rPr>
        <w:t>预算</w:t>
      </w:r>
      <w:r>
        <w:t>收支编制的科学性和精细化程度。强化预算约束，严格控制预算支出范围，未列入预算的不得支出，进一步加强财政预算执行监管，强化土地出让收支管控，</w:t>
      </w:r>
      <w:r>
        <w:rPr>
          <w:szCs w:val="32"/>
        </w:rPr>
        <w:t>避免扩大成本性支出范围引起专项基金计提收益减小</w:t>
      </w:r>
      <w:r>
        <w:t>。督促指导市级部门、县（市、区）、市直园区严格执行土地出让收入资金的使用范围，提高国有土地使用权出让收支管理水平。</w:t>
      </w:r>
    </w:p>
    <w:p>
      <w:pPr>
        <w:spacing w:line="620" w:lineRule="exact"/>
        <w:ind w:left="640"/>
        <w:rPr>
          <w:rFonts w:hint="eastAsia"/>
        </w:rPr>
      </w:pPr>
    </w:p>
    <w:p>
      <w:pPr>
        <w:spacing w:line="620" w:lineRule="exact"/>
        <w:ind w:left="640"/>
        <w:rPr>
          <w:rFonts w:hint="eastAsia"/>
        </w:rPr>
      </w:pPr>
    </w:p>
    <w:p>
      <w:pPr>
        <w:spacing w:line="620" w:lineRule="exact"/>
        <w:ind w:left="640"/>
      </w:pPr>
    </w:p>
    <w:p>
      <w:pPr>
        <w:pStyle w:val="5"/>
        <w:jc w:val="right"/>
      </w:pPr>
    </w:p>
    <w:p>
      <w:pPr>
        <w:spacing w:line="594" w:lineRule="exact"/>
        <w:ind w:firstLine="3827" w:firstLineChars="1196"/>
        <w:jc w:val="center"/>
        <w:textAlignment w:val="center"/>
        <w:rPr>
          <w:szCs w:val="32"/>
        </w:rPr>
      </w:pPr>
      <w:r>
        <w:rPr>
          <w:szCs w:val="32"/>
        </w:rPr>
        <w:t>遂宁市财政局</w:t>
      </w:r>
    </w:p>
    <w:p>
      <w:pPr>
        <w:spacing w:line="594" w:lineRule="exact"/>
        <w:ind w:firstLine="3827" w:firstLineChars="1196"/>
        <w:jc w:val="center"/>
        <w:textAlignment w:val="center"/>
        <w:rPr>
          <w:szCs w:val="32"/>
        </w:rPr>
      </w:pPr>
      <w:r>
        <w:rPr>
          <w:szCs w:val="32"/>
        </w:rPr>
        <w:t>2022年1月20日</w:t>
      </w:r>
    </w:p>
    <w:p>
      <w:pPr>
        <w:pStyle w:val="9"/>
        <w:jc w:val="right"/>
      </w:pPr>
    </w:p>
    <w:p>
      <w:pPr>
        <w:pStyle w:val="9"/>
        <w:jc w:val="right"/>
      </w:pPr>
    </w:p>
    <w:sectPr>
      <w:footerReference r:id="rId3" w:type="default"/>
      <w:footerReference r:id="rId4" w:type="even"/>
      <w:pgSz w:w="11906" w:h="16838"/>
      <w:pgMar w:top="1531" w:right="1418" w:bottom="1531" w:left="1418" w:header="851" w:footer="992" w:gutter="0"/>
      <w:pgNumType w:fmt="numberInDash"/>
      <w:cols w:space="425" w:num="1"/>
      <w:docGrid w:type="linesAndChar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6202293"/>
      <w:docPartObj>
        <w:docPartGallery w:val="AutoText"/>
      </w:docPartObj>
    </w:sdtPr>
    <w:sdtEndPr>
      <w:rPr>
        <w:rFonts w:asciiTheme="minorEastAsia" w:hAnsiTheme="minorEastAsia" w:eastAsiaTheme="minorEastAsia"/>
        <w:sz w:val="28"/>
        <w:szCs w:val="28"/>
      </w:rPr>
    </w:sdtEndPr>
    <w:sdtContent>
      <w:p>
        <w:pPr>
          <w:pStyle w:val="3"/>
          <w:ind w:left="320" w:leftChars="100" w:right="320" w:rightChars="10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290023"/>
      <w:docPartObj>
        <w:docPartGallery w:val="AutoText"/>
      </w:docPartObj>
    </w:sdtPr>
    <w:sdtEndPr>
      <w:rPr>
        <w:rFonts w:asciiTheme="minorEastAsia" w:hAnsiTheme="minorEastAsia" w:eastAsiaTheme="minorEastAsia"/>
        <w:sz w:val="28"/>
        <w:szCs w:val="28"/>
      </w:rPr>
    </w:sdtEndPr>
    <w:sdtContent>
      <w:p>
        <w:pPr>
          <w:pStyle w:val="3"/>
          <w:ind w:left="320" w:leftChars="100" w:right="320" w:rightChars="10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C0BE8"/>
    <w:multiLevelType w:val="singleLevel"/>
    <w:tmpl w:val="F8CC0BE8"/>
    <w:lvl w:ilvl="0" w:tentative="0">
      <w:start w:val="1"/>
      <w:numFmt w:val="chineseCounting"/>
      <w:suff w:val="nothing"/>
      <w:lvlText w:val="%1、"/>
      <w:lvlJc w:val="left"/>
      <w:rPr>
        <w:rFonts w:hint="eastAsia"/>
      </w:rPr>
    </w:lvl>
  </w:abstractNum>
  <w:abstractNum w:abstractNumId="1">
    <w:nsid w:val="5B8F995F"/>
    <w:multiLevelType w:val="singleLevel"/>
    <w:tmpl w:val="5B8F995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documentProtection w:enforcement="0"/>
  <w:defaultTabStop w:val="420"/>
  <w:evenAndOddHeaders w:val="1"/>
  <w:drawingGridHorizontalSpacing w:val="160"/>
  <w:drawingGridVerticalSpacing w:val="31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Mjc5YTBjNzZiYWNkMDhmNTdjYzMwYTkzY2YzNTQifQ=="/>
  </w:docVars>
  <w:rsids>
    <w:rsidRoot w:val="13764CE9"/>
    <w:rsid w:val="00342347"/>
    <w:rsid w:val="0094616E"/>
    <w:rsid w:val="01054ADA"/>
    <w:rsid w:val="01691460"/>
    <w:rsid w:val="01E743BF"/>
    <w:rsid w:val="02E26952"/>
    <w:rsid w:val="03781831"/>
    <w:rsid w:val="04286B60"/>
    <w:rsid w:val="04BD3A40"/>
    <w:rsid w:val="04CB4E73"/>
    <w:rsid w:val="04E6269F"/>
    <w:rsid w:val="05F53B72"/>
    <w:rsid w:val="05FF0C9E"/>
    <w:rsid w:val="06ED41B0"/>
    <w:rsid w:val="07DB289E"/>
    <w:rsid w:val="07F11AE9"/>
    <w:rsid w:val="08097F6E"/>
    <w:rsid w:val="08884AEA"/>
    <w:rsid w:val="08D20A5B"/>
    <w:rsid w:val="09210EFA"/>
    <w:rsid w:val="099B21EE"/>
    <w:rsid w:val="0A265ACF"/>
    <w:rsid w:val="0A937F67"/>
    <w:rsid w:val="0AD57BB7"/>
    <w:rsid w:val="0B192032"/>
    <w:rsid w:val="0CB52DFD"/>
    <w:rsid w:val="0F0D4FE5"/>
    <w:rsid w:val="104A1D5E"/>
    <w:rsid w:val="110C5A95"/>
    <w:rsid w:val="11277A42"/>
    <w:rsid w:val="114E5D2E"/>
    <w:rsid w:val="11F21DCA"/>
    <w:rsid w:val="12257DE9"/>
    <w:rsid w:val="12CA769F"/>
    <w:rsid w:val="13626E56"/>
    <w:rsid w:val="13764CE9"/>
    <w:rsid w:val="1379754E"/>
    <w:rsid w:val="147A2E5F"/>
    <w:rsid w:val="15326608"/>
    <w:rsid w:val="15826585"/>
    <w:rsid w:val="15CA32D5"/>
    <w:rsid w:val="15FB6FF1"/>
    <w:rsid w:val="169F616A"/>
    <w:rsid w:val="17921ECB"/>
    <w:rsid w:val="17C04612"/>
    <w:rsid w:val="17C71C90"/>
    <w:rsid w:val="17D96FD7"/>
    <w:rsid w:val="186E2E7A"/>
    <w:rsid w:val="1A580CA7"/>
    <w:rsid w:val="1A604B6E"/>
    <w:rsid w:val="1A7408BE"/>
    <w:rsid w:val="1A9058A9"/>
    <w:rsid w:val="1B700879"/>
    <w:rsid w:val="1C714256"/>
    <w:rsid w:val="1CB21ED9"/>
    <w:rsid w:val="1CBC6710"/>
    <w:rsid w:val="1D0F2E29"/>
    <w:rsid w:val="1D103C19"/>
    <w:rsid w:val="1D1C1676"/>
    <w:rsid w:val="1D2F165E"/>
    <w:rsid w:val="1D7313E6"/>
    <w:rsid w:val="1E311AC0"/>
    <w:rsid w:val="1E3F006B"/>
    <w:rsid w:val="1EC55DC6"/>
    <w:rsid w:val="1F0E2868"/>
    <w:rsid w:val="1FBA43CE"/>
    <w:rsid w:val="20256A93"/>
    <w:rsid w:val="209064B5"/>
    <w:rsid w:val="20ED0742"/>
    <w:rsid w:val="20F15CCF"/>
    <w:rsid w:val="21200640"/>
    <w:rsid w:val="213C36A0"/>
    <w:rsid w:val="2238244B"/>
    <w:rsid w:val="227A117E"/>
    <w:rsid w:val="22B42F50"/>
    <w:rsid w:val="22C813AD"/>
    <w:rsid w:val="22D4271C"/>
    <w:rsid w:val="23445D49"/>
    <w:rsid w:val="23C9223F"/>
    <w:rsid w:val="23DC4BCF"/>
    <w:rsid w:val="24055A74"/>
    <w:rsid w:val="24320CC8"/>
    <w:rsid w:val="246D07A0"/>
    <w:rsid w:val="254B5FE4"/>
    <w:rsid w:val="256D4219"/>
    <w:rsid w:val="261103CC"/>
    <w:rsid w:val="27814B2A"/>
    <w:rsid w:val="27A34BB4"/>
    <w:rsid w:val="27E575F0"/>
    <w:rsid w:val="28D767AC"/>
    <w:rsid w:val="29153807"/>
    <w:rsid w:val="29440FD3"/>
    <w:rsid w:val="29D221C5"/>
    <w:rsid w:val="2BD60EEA"/>
    <w:rsid w:val="2C0F46F1"/>
    <w:rsid w:val="2C3D33B6"/>
    <w:rsid w:val="2C586313"/>
    <w:rsid w:val="2C7940EB"/>
    <w:rsid w:val="2CD82EEB"/>
    <w:rsid w:val="2D3D1EA7"/>
    <w:rsid w:val="2DDC37B0"/>
    <w:rsid w:val="2ECC5F15"/>
    <w:rsid w:val="30090EC4"/>
    <w:rsid w:val="303F5EE8"/>
    <w:rsid w:val="30766E97"/>
    <w:rsid w:val="30C947BC"/>
    <w:rsid w:val="30D00AD5"/>
    <w:rsid w:val="31EC30AB"/>
    <w:rsid w:val="324C6101"/>
    <w:rsid w:val="325541F0"/>
    <w:rsid w:val="32E12CEE"/>
    <w:rsid w:val="33307A1E"/>
    <w:rsid w:val="33375354"/>
    <w:rsid w:val="336D1119"/>
    <w:rsid w:val="343D693B"/>
    <w:rsid w:val="35D602CA"/>
    <w:rsid w:val="363C2BB4"/>
    <w:rsid w:val="36463D48"/>
    <w:rsid w:val="365649FC"/>
    <w:rsid w:val="366D19A5"/>
    <w:rsid w:val="37C56DFC"/>
    <w:rsid w:val="37EA667D"/>
    <w:rsid w:val="381365C6"/>
    <w:rsid w:val="385A260D"/>
    <w:rsid w:val="38D20CF3"/>
    <w:rsid w:val="391344E4"/>
    <w:rsid w:val="391F122C"/>
    <w:rsid w:val="39567866"/>
    <w:rsid w:val="399E05E5"/>
    <w:rsid w:val="39D65DE8"/>
    <w:rsid w:val="39ED121F"/>
    <w:rsid w:val="3A044158"/>
    <w:rsid w:val="3A695E87"/>
    <w:rsid w:val="3B2C528A"/>
    <w:rsid w:val="3B3F1F14"/>
    <w:rsid w:val="3C562EE0"/>
    <w:rsid w:val="3C9D4B7E"/>
    <w:rsid w:val="3D9E55C6"/>
    <w:rsid w:val="3E1938CA"/>
    <w:rsid w:val="3E217829"/>
    <w:rsid w:val="3F6F7BA2"/>
    <w:rsid w:val="3FB159A1"/>
    <w:rsid w:val="41056CCB"/>
    <w:rsid w:val="41606613"/>
    <w:rsid w:val="417D2085"/>
    <w:rsid w:val="41CB54AA"/>
    <w:rsid w:val="42840D0B"/>
    <w:rsid w:val="42A71FD6"/>
    <w:rsid w:val="4346094B"/>
    <w:rsid w:val="43D5197E"/>
    <w:rsid w:val="441718F9"/>
    <w:rsid w:val="44912960"/>
    <w:rsid w:val="449D4F77"/>
    <w:rsid w:val="44B8313F"/>
    <w:rsid w:val="45DF7240"/>
    <w:rsid w:val="46896072"/>
    <w:rsid w:val="469D3A50"/>
    <w:rsid w:val="4849573F"/>
    <w:rsid w:val="485C7A09"/>
    <w:rsid w:val="49075C9D"/>
    <w:rsid w:val="49325E13"/>
    <w:rsid w:val="49440172"/>
    <w:rsid w:val="499B0C0D"/>
    <w:rsid w:val="49DF1025"/>
    <w:rsid w:val="4A0B1FA6"/>
    <w:rsid w:val="4A57500F"/>
    <w:rsid w:val="4A7D10F6"/>
    <w:rsid w:val="4B8303FF"/>
    <w:rsid w:val="4B897EED"/>
    <w:rsid w:val="4B9763BC"/>
    <w:rsid w:val="4BC43F6B"/>
    <w:rsid w:val="4BE56F53"/>
    <w:rsid w:val="4C0A6D38"/>
    <w:rsid w:val="4C4D25D5"/>
    <w:rsid w:val="4C7D3CDE"/>
    <w:rsid w:val="4D3C4955"/>
    <w:rsid w:val="4D5225CE"/>
    <w:rsid w:val="4DC07EA7"/>
    <w:rsid w:val="4E1372DC"/>
    <w:rsid w:val="4E606D65"/>
    <w:rsid w:val="50927724"/>
    <w:rsid w:val="51730D77"/>
    <w:rsid w:val="524120CC"/>
    <w:rsid w:val="53C90E50"/>
    <w:rsid w:val="542C051D"/>
    <w:rsid w:val="550F193F"/>
    <w:rsid w:val="56791F7E"/>
    <w:rsid w:val="570449F2"/>
    <w:rsid w:val="57221B12"/>
    <w:rsid w:val="585D7DEC"/>
    <w:rsid w:val="5880473A"/>
    <w:rsid w:val="58977827"/>
    <w:rsid w:val="58C15E3D"/>
    <w:rsid w:val="593772D0"/>
    <w:rsid w:val="59876D21"/>
    <w:rsid w:val="5A0C1DB6"/>
    <w:rsid w:val="5A1C3AA5"/>
    <w:rsid w:val="5A3A2B60"/>
    <w:rsid w:val="5A3D4A44"/>
    <w:rsid w:val="5AA2629A"/>
    <w:rsid w:val="5B0478AC"/>
    <w:rsid w:val="5C364484"/>
    <w:rsid w:val="5C580F82"/>
    <w:rsid w:val="5D7F118B"/>
    <w:rsid w:val="5DCF7CFD"/>
    <w:rsid w:val="5E562AFF"/>
    <w:rsid w:val="5EDD4C9C"/>
    <w:rsid w:val="5F1F3A14"/>
    <w:rsid w:val="5FD67FE2"/>
    <w:rsid w:val="606F7620"/>
    <w:rsid w:val="62940E77"/>
    <w:rsid w:val="62B9272B"/>
    <w:rsid w:val="637C044E"/>
    <w:rsid w:val="63995734"/>
    <w:rsid w:val="64384CC8"/>
    <w:rsid w:val="649A50BE"/>
    <w:rsid w:val="652257BE"/>
    <w:rsid w:val="65C50665"/>
    <w:rsid w:val="66252FEF"/>
    <w:rsid w:val="66305F7E"/>
    <w:rsid w:val="66426278"/>
    <w:rsid w:val="66676B19"/>
    <w:rsid w:val="66926259"/>
    <w:rsid w:val="675D57AD"/>
    <w:rsid w:val="67CC5ECB"/>
    <w:rsid w:val="67DE5DB3"/>
    <w:rsid w:val="67E71FE1"/>
    <w:rsid w:val="67FE0D1E"/>
    <w:rsid w:val="69171899"/>
    <w:rsid w:val="692073C4"/>
    <w:rsid w:val="696C5A71"/>
    <w:rsid w:val="6A2B04E5"/>
    <w:rsid w:val="6A4C1CF4"/>
    <w:rsid w:val="6AFB078D"/>
    <w:rsid w:val="6B08032A"/>
    <w:rsid w:val="6B8660D4"/>
    <w:rsid w:val="6C65620F"/>
    <w:rsid w:val="6CA75BF7"/>
    <w:rsid w:val="6E24394D"/>
    <w:rsid w:val="6E3E163E"/>
    <w:rsid w:val="6E604C5E"/>
    <w:rsid w:val="6E697118"/>
    <w:rsid w:val="6E6F0EFC"/>
    <w:rsid w:val="6EE43276"/>
    <w:rsid w:val="6F08004E"/>
    <w:rsid w:val="6F886897"/>
    <w:rsid w:val="6FA44148"/>
    <w:rsid w:val="6FBD67F8"/>
    <w:rsid w:val="6FDC1001"/>
    <w:rsid w:val="703219D3"/>
    <w:rsid w:val="705B7400"/>
    <w:rsid w:val="70947480"/>
    <w:rsid w:val="70E44EF2"/>
    <w:rsid w:val="71011486"/>
    <w:rsid w:val="718A05F4"/>
    <w:rsid w:val="72950464"/>
    <w:rsid w:val="72C25048"/>
    <w:rsid w:val="73FB5F58"/>
    <w:rsid w:val="74155806"/>
    <w:rsid w:val="74212615"/>
    <w:rsid w:val="74BD799F"/>
    <w:rsid w:val="759B3396"/>
    <w:rsid w:val="75D16E95"/>
    <w:rsid w:val="788F4FE8"/>
    <w:rsid w:val="78AE072B"/>
    <w:rsid w:val="78F55E89"/>
    <w:rsid w:val="793F0947"/>
    <w:rsid w:val="797E72F3"/>
    <w:rsid w:val="79B0755D"/>
    <w:rsid w:val="79F71F7E"/>
    <w:rsid w:val="7A3A7F56"/>
    <w:rsid w:val="7AE30B8C"/>
    <w:rsid w:val="7B4814C5"/>
    <w:rsid w:val="7B4A647B"/>
    <w:rsid w:val="7B5C10D4"/>
    <w:rsid w:val="7BF72205"/>
    <w:rsid w:val="7C0D1DA2"/>
    <w:rsid w:val="7D887CAB"/>
    <w:rsid w:val="7D8F2DD8"/>
    <w:rsid w:val="7DBC6F13"/>
    <w:rsid w:val="7E120861"/>
    <w:rsid w:val="7FBA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paragraph" w:customStyle="1" w:styleId="8">
    <w:name w:val="正文2"/>
    <w:basedOn w:val="1"/>
    <w:next w:val="1"/>
    <w:qFormat/>
    <w:uiPriority w:val="0"/>
  </w:style>
  <w:style w:type="paragraph" w:customStyle="1" w:styleId="9">
    <w:name w:val="常用样式（方正仿宋简）"/>
    <w:basedOn w:val="1"/>
    <w:next w:val="1"/>
    <w:qFormat/>
    <w:uiPriority w:val="0"/>
    <w:pPr>
      <w:ind w:firstLine="640"/>
    </w:pPr>
    <w:rPr>
      <w:rFonts w:eastAsia="方正仿宋简体"/>
    </w:rPr>
  </w:style>
  <w:style w:type="character" w:customStyle="1" w:styleId="10">
    <w:name w:val="页眉 Char"/>
    <w:basedOn w:val="7"/>
    <w:link w:val="4"/>
    <w:uiPriority w:val="0"/>
    <w:rPr>
      <w:rFonts w:eastAsia="仿宋_GB2312"/>
      <w:kern w:val="2"/>
      <w:sz w:val="18"/>
      <w:szCs w:val="18"/>
    </w:rPr>
  </w:style>
  <w:style w:type="character" w:customStyle="1" w:styleId="11">
    <w:name w:val="页脚 Char"/>
    <w:basedOn w:val="7"/>
    <w:link w:val="3"/>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1871</Words>
  <Characters>1930</Characters>
  <Lines>1</Lines>
  <Paragraphs>3</Paragraphs>
  <TotalTime>2</TotalTime>
  <ScaleCrop>false</ScaleCrop>
  <LinksUpToDate>false</LinksUpToDate>
  <CharactersWithSpaces>1945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2022-01-17T03:16:00Z</dcterms:created>
  <dc:creator>李斌琦</dc:creator>
  <cp:lastModifiedBy>李斌琦</cp:lastModifiedBy>
  <cp:lastPrinted>2023-01-05T03:40:00Z</cp:lastPrinted>
  <dcterms:modified xsi:type="dcterms:W3CDTF">2023-01-05T10:36:52Z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364AAE32E3D24494B1CC0025F9C42E33</vt:lpwstr>
  </property>
</Properties>
</file>