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734C9">
      <w:pPr>
        <w:pStyle w:val="109"/>
        <w:rPr>
          <w:highlight w:val="none"/>
        </w:rPr>
      </w:pPr>
      <w:r>
        <w:rPr>
          <w:rFonts w:hint="eastAsia"/>
          <w:highlight w:val="none"/>
        </w:rPr>
        <mc:AlternateContent>
          <mc:Choice Requires="wpg">
            <w:drawing>
              <wp:anchor distT="0" distB="0" distL="114300" distR="114300" simplePos="0" relativeHeight="251660288" behindDoc="0" locked="0" layoutInCell="1" allowOverlap="1">
                <wp:simplePos x="0" y="0"/>
                <wp:positionH relativeFrom="margin">
                  <wp:posOffset>203835</wp:posOffset>
                </wp:positionH>
                <wp:positionV relativeFrom="paragraph">
                  <wp:posOffset>187960</wp:posOffset>
                </wp:positionV>
                <wp:extent cx="4845685" cy="685800"/>
                <wp:effectExtent l="0" t="0" r="0" b="0"/>
                <wp:wrapNone/>
                <wp:docPr id="5" name="组合 4"/>
                <wp:cNvGraphicFramePr/>
                <a:graphic xmlns:a="http://schemas.openxmlformats.org/drawingml/2006/main">
                  <a:graphicData uri="http://schemas.microsoft.com/office/word/2010/wordprocessingGroup">
                    <wpg:wgp>
                      <wpg:cNvGrpSpPr/>
                      <wpg:grpSpPr>
                        <a:xfrm>
                          <a:off x="0" y="0"/>
                          <a:ext cx="4845452" cy="685800"/>
                          <a:chOff x="0" y="126832"/>
                          <a:chExt cx="4890826" cy="1101900"/>
                        </a:xfrm>
                      </wpg:grpSpPr>
                      <pic:pic xmlns:pic="http://schemas.openxmlformats.org/drawingml/2006/picture">
                        <pic:nvPicPr>
                          <pic:cNvPr id="1767435697" name="图片 1767435697"/>
                          <pic:cNvPicPr>
                            <a:picLocks noChangeAspect="1"/>
                          </pic:cNvPicPr>
                        </pic:nvPicPr>
                        <pic:blipFill>
                          <a:blip r:embed="rId5"/>
                          <a:stretch>
                            <a:fillRect/>
                          </a:stretch>
                        </pic:blipFill>
                        <pic:spPr>
                          <a:xfrm>
                            <a:off x="0" y="318640"/>
                            <a:ext cx="612062" cy="658065"/>
                          </a:xfrm>
                          <a:prstGeom prst="rect">
                            <a:avLst/>
                          </a:prstGeom>
                        </pic:spPr>
                      </pic:pic>
                      <wps:wsp>
                        <wps:cNvPr id="517303207" name="文本框 13"/>
                        <wps:cNvSpPr txBox="1"/>
                        <wps:spPr>
                          <a:xfrm>
                            <a:off x="668913" y="126832"/>
                            <a:ext cx="4221913" cy="1101900"/>
                          </a:xfrm>
                          <a:prstGeom prst="rect">
                            <a:avLst/>
                          </a:prstGeom>
                          <a:noFill/>
                        </wps:spPr>
                        <wps:txbx>
                          <w:txbxContent>
                            <w:p w14:paraId="77DF8BAC">
                              <w:pPr>
                                <w:jc w:val="center"/>
                                <w:rPr>
                                  <w:rFonts w:ascii="仿宋" w:hAnsi="仿宋" w:eastAsia="仿宋"/>
                                  <w:color w:val="222A35" w:themeColor="text2" w:themeShade="80"/>
                                  <w:kern w:val="24"/>
                                  <w:sz w:val="40"/>
                                  <w:szCs w:val="40"/>
                                  <w14:glow w14:rad="152400">
                                    <w14:schemeClr w14:val="accent1">
                                      <w14:lumMod w14:val="20000"/>
                                      <w14:lumOff w14:val="80000"/>
                                    </w14:schemeClr>
                                  </w14:glow>
                                  <w14:shadow w14:blurRad="50800" w14:dist="50800" w14:dir="5400000" w14:sx="100000" w14:sy="100000" w14:kx="0" w14:ky="0" w14:algn="ctr">
                                    <w14:schemeClr w14:val="accent1">
                                      <w14:lumMod w14:val="40000"/>
                                      <w14:lumOff w14:val="60000"/>
                                    </w14:schemeClr>
                                  </w14:shadow>
                                </w:rPr>
                              </w:pPr>
                              <w:r>
                                <w:rPr>
                                  <w:rFonts w:hint="eastAsia" w:ascii="仿宋" w:hAnsi="仿宋" w:eastAsia="仿宋"/>
                                  <w:color w:val="222A35" w:themeColor="text2" w:themeShade="80"/>
                                  <w:kern w:val="24"/>
                                  <w:sz w:val="40"/>
                                  <w:szCs w:val="40"/>
                                  <w14:glow w14:rad="152400">
                                    <w14:schemeClr w14:val="accent1">
                                      <w14:lumMod w14:val="20000"/>
                                      <w14:lumOff w14:val="80000"/>
                                    </w14:schemeClr>
                                  </w14:glow>
                                  <w14:shadow w14:blurRad="50800" w14:dist="50800" w14:dir="5400000" w14:sx="100000" w14:sy="100000" w14:kx="0" w14:ky="0" w14:algn="ctr">
                                    <w14:schemeClr w14:val="accent1">
                                      <w14:lumMod w14:val="40000"/>
                                      <w14:lumOff w14:val="60000"/>
                                    </w14:schemeClr>
                                  </w14:shadow>
                                </w:rPr>
                                <w:t>四川质联企业管理咨询有限公司</w:t>
                              </w:r>
                            </w:p>
                          </w:txbxContent>
                        </wps:txbx>
                        <wps:bodyPr vert="horz" wrap="square" rtlCol="0">
                          <a:spAutoFit/>
                        </wps:bodyPr>
                      </wps:wsp>
                    </wpg:wgp>
                  </a:graphicData>
                </a:graphic>
              </wp:anchor>
            </w:drawing>
          </mc:Choice>
          <mc:Fallback>
            <w:pict>
              <v:group id="组合 4" o:spid="_x0000_s1026" o:spt="203" style="position:absolute;left:0pt;margin-left:16.05pt;margin-top:14.8pt;height:54pt;width:381.55pt;mso-position-horizontal-relative:margin;z-index:251660288;mso-width-relative:page;mso-height-relative:page;" coordorigin="0,126832" coordsize="4890826,1101900" o:gfxdata="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">
                <o:lock v:ext="edit" aspectratio="f"/>
                <v:shape id="_x0000_s1026" o:spid="_x0000_s1026" o:spt="75" type="#_x0000_t75" style="position:absolute;left:0;top:318640;height:658065;width:612062;" filled="f" o:preferrelative="t" stroked="f" coordsize="21600,21600" o:gfxdata="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h2yEj&#10;wAAAAOMAAAAPAAAAAAAAAAEAIAAAACIAAABkcnMvZG93bnJldi54bWxQSwECFAAUAAAACACHTuJA&#10;My8FnjsAAAA5AAAAEAAAAAAAAAABACAAAAAPAQAAZHJzL3NoYXBleG1sLnhtbFBLBQYAAAAABgAG&#10;AFsBAAC5AwAAAAA=&#10;">
                  <v:fill on="f" focussize="0,0"/>
                  <v:stroke on="f"/>
                  <v:imagedata r:id="rId5" o:title=""/>
                  <o:lock v:ext="edit" aspectratio="t"/>
                </v:shape>
                <v:shape id="文本框 13" o:spid="_x0000_s1026" o:spt="202" type="#_x0000_t202" style="position:absolute;left:668913;top:126832;height:1101900;width:4221913;" filled="f" stroked="f" coordsize="21600,21600" o:gfxdata="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3uNS&#10;LsEAAADiAAAADwAAAAAAAAABACAAAAAiAAAAZHJzL2Rvd25yZXYueG1sUEsBAhQAFAAAAAgAh07i&#10;QDMvBZ47AAAAOQAAABAAAAAAAAAAAQAgAAAAEAEAAGRycy9zaGFwZXhtbC54bWxQSwUGAAAAAAYA&#10;BgBbAQAAugMAAAAA&#10;">
                  <v:fill on="f" focussize="0,0"/>
                  <v:stroke on="f"/>
                  <v:imagedata o:title=""/>
                  <o:lock v:ext="edit" aspectratio="f"/>
                  <v:textbox style="mso-fit-shape-to-text:t;">
                    <w:txbxContent>
                      <w:p w14:paraId="77DF8BAC">
                        <w:pPr>
                          <w:jc w:val="center"/>
                          <w:rPr>
                            <w:rFonts w:ascii="仿宋" w:hAnsi="仿宋" w:eastAsia="仿宋"/>
                            <w:color w:val="222A35" w:themeColor="text2" w:themeShade="80"/>
                            <w:kern w:val="24"/>
                            <w:sz w:val="40"/>
                            <w:szCs w:val="40"/>
                            <w14:glow w14:rad="152400">
                              <w14:schemeClr w14:val="accent1">
                                <w14:lumMod w14:val="20000"/>
                                <w14:lumOff w14:val="80000"/>
                              </w14:schemeClr>
                            </w14:glow>
                            <w14:shadow w14:blurRad="50800" w14:dist="50800" w14:dir="5400000" w14:sx="100000" w14:sy="100000" w14:kx="0" w14:ky="0" w14:algn="ctr">
                              <w14:schemeClr w14:val="accent1">
                                <w14:lumMod w14:val="40000"/>
                                <w14:lumOff w14:val="60000"/>
                              </w14:schemeClr>
                            </w14:shadow>
                          </w:rPr>
                        </w:pPr>
                        <w:r>
                          <w:rPr>
                            <w:rFonts w:hint="eastAsia" w:ascii="仿宋" w:hAnsi="仿宋" w:eastAsia="仿宋"/>
                            <w:color w:val="222A35" w:themeColor="text2" w:themeShade="80"/>
                            <w:kern w:val="24"/>
                            <w:sz w:val="40"/>
                            <w:szCs w:val="40"/>
                            <w14:glow w14:rad="152400">
                              <w14:schemeClr w14:val="accent1">
                                <w14:lumMod w14:val="20000"/>
                                <w14:lumOff w14:val="80000"/>
                              </w14:schemeClr>
                            </w14:glow>
                            <w14:shadow w14:blurRad="50800" w14:dist="50800" w14:dir="5400000" w14:sx="100000" w14:sy="100000" w14:kx="0" w14:ky="0" w14:algn="ctr">
                              <w14:schemeClr w14:val="accent1">
                                <w14:lumMod w14:val="40000"/>
                                <w14:lumOff w14:val="60000"/>
                              </w14:schemeClr>
                            </w14:shadow>
                          </w:rPr>
                          <w:t>四川质联企业管理咨询有限公司</w:t>
                        </w:r>
                      </w:p>
                    </w:txbxContent>
                  </v:textbox>
                </v:shape>
              </v:group>
            </w:pict>
          </mc:Fallback>
        </mc:AlternateContent>
      </w:r>
    </w:p>
    <w:p w14:paraId="53912823">
      <w:pPr>
        <w:pStyle w:val="41"/>
        <w:rPr>
          <w:rFonts w:ascii="宋体" w:hAnsi="宋体" w:eastAsia="宋体" w:cs="宋体"/>
          <w:highlight w:val="none"/>
        </w:rPr>
      </w:pPr>
    </w:p>
    <w:p w14:paraId="49D473E4">
      <w:pPr>
        <w:pStyle w:val="41"/>
        <w:rPr>
          <w:rFonts w:ascii="宋体" w:hAnsi="宋体" w:eastAsia="宋体" w:cs="宋体"/>
          <w:highlight w:val="none"/>
        </w:rPr>
      </w:pPr>
    </w:p>
    <w:p w14:paraId="49841494">
      <w:pPr>
        <w:pStyle w:val="41"/>
        <w:rPr>
          <w:rFonts w:ascii="宋体" w:hAnsi="宋体" w:eastAsia="宋体" w:cs="宋体"/>
          <w:highlight w:val="none"/>
        </w:rPr>
      </w:pPr>
    </w:p>
    <w:p w14:paraId="6B3CC067">
      <w:pPr>
        <w:pStyle w:val="41"/>
        <w:rPr>
          <w:rFonts w:ascii="宋体" w:hAnsi="宋体" w:eastAsia="宋体" w:cs="宋体"/>
          <w:highlight w:val="none"/>
        </w:rPr>
      </w:pPr>
    </w:p>
    <w:p w14:paraId="2B831FF9">
      <w:pPr>
        <w:pStyle w:val="41"/>
        <w:rPr>
          <w:rFonts w:ascii="宋体" w:hAnsi="宋体" w:eastAsia="宋体" w:cs="宋体"/>
          <w:highlight w:val="none"/>
        </w:rPr>
      </w:pPr>
    </w:p>
    <w:p w14:paraId="436B5418">
      <w:pPr>
        <w:pStyle w:val="41"/>
        <w:rPr>
          <w:rFonts w:ascii="宋体" w:hAnsi="宋体" w:eastAsia="宋体" w:cs="宋体"/>
          <w:highlight w:val="none"/>
        </w:rPr>
      </w:pPr>
    </w:p>
    <w:p w14:paraId="6B1B1FB2">
      <w:pPr>
        <w:pStyle w:val="41"/>
        <w:rPr>
          <w:rFonts w:ascii="宋体" w:hAnsi="宋体" w:eastAsia="宋体" w:cs="宋体"/>
          <w:highlight w:val="none"/>
        </w:rPr>
      </w:pPr>
    </w:p>
    <w:p w14:paraId="7F5BC34F">
      <w:pPr>
        <w:jc w:val="center"/>
        <w:rPr>
          <w:rFonts w:hint="eastAsia" w:ascii="Times New Roman" w:hAnsi="Times New Roman" w:eastAsia="小标宋" w:cs="Times New Roman"/>
          <w:b/>
          <w:sz w:val="44"/>
          <w:szCs w:val="44"/>
          <w:highlight w:val="none"/>
          <w:lang w:eastAsia="zh-CN"/>
        </w:rPr>
      </w:pPr>
      <w:r>
        <w:rPr>
          <w:rFonts w:hint="eastAsia" w:ascii="Times New Roman" w:hAnsi="Times New Roman" w:eastAsia="小标宋" w:cs="Times New Roman"/>
          <w:b/>
          <w:sz w:val="44"/>
          <w:szCs w:val="44"/>
          <w:highlight w:val="none"/>
          <w:lang w:val="en-US" w:eastAsia="zh-CN"/>
        </w:rPr>
        <w:t>2023</w:t>
      </w:r>
      <w:r>
        <w:rPr>
          <w:rFonts w:hint="eastAsia" w:ascii="Times New Roman" w:hAnsi="Times New Roman" w:eastAsia="小标宋" w:cs="Times New Roman"/>
          <w:b/>
          <w:sz w:val="44"/>
          <w:szCs w:val="44"/>
          <w:highlight w:val="none"/>
        </w:rPr>
        <w:t>年</w:t>
      </w:r>
      <w:r>
        <w:rPr>
          <w:rFonts w:hint="eastAsia" w:ascii="Times New Roman" w:hAnsi="Times New Roman" w:eastAsia="小标宋" w:cs="Times New Roman"/>
          <w:b/>
          <w:sz w:val="44"/>
          <w:szCs w:val="44"/>
          <w:highlight w:val="none"/>
          <w:lang w:val="en-US" w:eastAsia="zh-CN"/>
        </w:rPr>
        <w:t>遂宁市</w:t>
      </w:r>
      <w:r>
        <w:rPr>
          <w:rFonts w:hint="eastAsia" w:ascii="Times New Roman" w:hAnsi="Times New Roman" w:eastAsia="小标宋" w:cs="Times New Roman"/>
          <w:b/>
          <w:sz w:val="44"/>
          <w:szCs w:val="44"/>
          <w:highlight w:val="none"/>
          <w:lang w:eastAsia="zh-CN"/>
        </w:rPr>
        <w:t>文学艺术界联合会</w:t>
      </w:r>
    </w:p>
    <w:p w14:paraId="7FA5A026">
      <w:pPr>
        <w:jc w:val="center"/>
        <w:outlineLvl w:val="9"/>
        <w:rPr>
          <w:rFonts w:ascii="Times New Roman" w:hAnsi="Times New Roman" w:eastAsia="小标宋" w:cs="Times New Roman"/>
          <w:b/>
          <w:sz w:val="44"/>
          <w:szCs w:val="44"/>
          <w:highlight w:val="none"/>
        </w:rPr>
      </w:pPr>
      <w:r>
        <w:rPr>
          <w:rFonts w:hint="eastAsia" w:ascii="Times New Roman" w:hAnsi="Times New Roman" w:eastAsia="小标宋" w:cs="Times New Roman"/>
          <w:b/>
          <w:sz w:val="44"/>
          <w:szCs w:val="44"/>
          <w:highlight w:val="none"/>
        </w:rPr>
        <w:t>部门整体支出绩效评价报告</w:t>
      </w:r>
    </w:p>
    <w:p w14:paraId="1FAA15C4">
      <w:pPr>
        <w:widowControl/>
        <w:kinsoku w:val="0"/>
        <w:autoSpaceDE w:val="0"/>
        <w:autoSpaceDN w:val="0"/>
        <w:adjustRightInd w:val="0"/>
        <w:snapToGrid w:val="0"/>
        <w:spacing w:line="360" w:lineRule="auto"/>
        <w:jc w:val="center"/>
        <w:textAlignment w:val="baseline"/>
        <w:rPr>
          <w:rFonts w:hint="default" w:ascii="Times New Roman" w:hAnsi="Times New Roman" w:eastAsia="小标宋" w:cs="Times New Roman"/>
          <w:b/>
          <w:sz w:val="44"/>
          <w:szCs w:val="44"/>
          <w:highlight w:val="none"/>
          <w:lang w:val="en-US"/>
        </w:rPr>
      </w:pPr>
      <w:r>
        <w:rPr>
          <w:rFonts w:hint="eastAsia" w:ascii="仿宋_GB2312" w:hAnsi="楷体" w:eastAsia="仿宋_GB2312" w:cs="Arial"/>
          <w:snapToGrid w:val="0"/>
          <w:color w:val="000000"/>
          <w:kern w:val="0"/>
          <w:sz w:val="36"/>
          <w:szCs w:val="36"/>
          <w:highlight w:val="none"/>
          <w:lang w:eastAsia="en-US"/>
        </w:rPr>
        <w:t>质联绩效[202</w:t>
      </w:r>
      <w:r>
        <w:rPr>
          <w:rFonts w:hint="eastAsia" w:ascii="仿宋_GB2312" w:hAnsi="楷体" w:eastAsia="仿宋_GB2312" w:cs="Arial"/>
          <w:snapToGrid w:val="0"/>
          <w:color w:val="000000"/>
          <w:kern w:val="0"/>
          <w:sz w:val="36"/>
          <w:szCs w:val="36"/>
          <w:highlight w:val="none"/>
          <w:lang w:val="en-US" w:eastAsia="zh-CN"/>
        </w:rPr>
        <w:t>4</w:t>
      </w:r>
      <w:r>
        <w:rPr>
          <w:rFonts w:hint="eastAsia" w:ascii="仿宋_GB2312" w:hAnsi="楷体" w:eastAsia="仿宋_GB2312" w:cs="Arial"/>
          <w:snapToGrid w:val="0"/>
          <w:color w:val="000000"/>
          <w:kern w:val="0"/>
          <w:sz w:val="36"/>
          <w:szCs w:val="36"/>
          <w:highlight w:val="none"/>
          <w:lang w:eastAsia="en-US"/>
        </w:rPr>
        <w:t>]</w:t>
      </w:r>
      <w:r>
        <w:rPr>
          <w:rFonts w:hint="eastAsia" w:ascii="仿宋_GB2312" w:hAnsi="楷体" w:eastAsia="仿宋_GB2312" w:cs="Arial"/>
          <w:snapToGrid w:val="0"/>
          <w:color w:val="000000"/>
          <w:kern w:val="0"/>
          <w:sz w:val="36"/>
          <w:szCs w:val="36"/>
          <w:highlight w:val="none"/>
          <w:lang w:val="en-US" w:eastAsia="zh-CN"/>
        </w:rPr>
        <w:t>0727</w:t>
      </w:r>
    </w:p>
    <w:p w14:paraId="2BB35812">
      <w:pPr>
        <w:jc w:val="center"/>
        <w:rPr>
          <w:rFonts w:ascii="Times New Roman" w:hAnsi="Times New Roman" w:eastAsia="小标宋" w:cs="Times New Roman"/>
          <w:b/>
          <w:sz w:val="44"/>
          <w:szCs w:val="44"/>
          <w:highlight w:val="none"/>
        </w:rPr>
      </w:pPr>
    </w:p>
    <w:p w14:paraId="1F4F360B">
      <w:pPr>
        <w:jc w:val="center"/>
        <w:rPr>
          <w:rFonts w:ascii="Times New Roman" w:hAnsi="Times New Roman" w:eastAsia="小标宋" w:cs="Times New Roman"/>
          <w:b/>
          <w:sz w:val="44"/>
          <w:szCs w:val="44"/>
          <w:highlight w:val="none"/>
        </w:rPr>
      </w:pPr>
    </w:p>
    <w:p w14:paraId="05134885">
      <w:pPr>
        <w:jc w:val="center"/>
        <w:rPr>
          <w:rFonts w:ascii="Times New Roman" w:hAnsi="Times New Roman" w:eastAsia="小标宋" w:cs="Times New Roman"/>
          <w:b/>
          <w:sz w:val="44"/>
          <w:szCs w:val="44"/>
          <w:highlight w:val="none"/>
        </w:rPr>
      </w:pPr>
    </w:p>
    <w:p w14:paraId="17BEF71D">
      <w:pPr>
        <w:pStyle w:val="39"/>
        <w:spacing w:line="600" w:lineRule="exact"/>
        <w:ind w:left="3085" w:hanging="1405" w:hangingChars="500"/>
        <w:outlineLvl w:val="9"/>
        <w:rPr>
          <w:rFonts w:eastAsia="小标宋"/>
          <w:b/>
          <w:highlight w:val="none"/>
        </w:rPr>
      </w:pPr>
      <w:r>
        <w:rPr>
          <w:rFonts w:hint="eastAsia" w:eastAsia="小标宋"/>
          <w:b/>
          <w:highlight w:val="none"/>
        </w:rPr>
        <w:t>项目名称：2023年</w:t>
      </w:r>
      <w:r>
        <w:rPr>
          <w:rFonts w:hint="eastAsia" w:eastAsia="小标宋"/>
          <w:b/>
          <w:highlight w:val="none"/>
          <w:lang w:eastAsia="zh-CN"/>
        </w:rPr>
        <w:t>遂宁市文学艺术界联合会</w:t>
      </w:r>
      <w:r>
        <w:rPr>
          <w:rFonts w:hint="eastAsia" w:eastAsia="小标宋"/>
          <w:b/>
          <w:highlight w:val="none"/>
        </w:rPr>
        <w:t>部门整体</w:t>
      </w:r>
    </w:p>
    <w:p w14:paraId="0CB3C756">
      <w:pPr>
        <w:pStyle w:val="39"/>
        <w:spacing w:line="600" w:lineRule="exact"/>
        <w:ind w:left="1680"/>
        <w:rPr>
          <w:rFonts w:hint="default" w:eastAsia="小标宋"/>
          <w:b/>
          <w:highlight w:val="none"/>
          <w:lang w:val="en-US" w:eastAsia="zh-CN"/>
        </w:rPr>
      </w:pPr>
      <w:r>
        <w:rPr>
          <w:rFonts w:hint="eastAsia" w:eastAsia="小标宋"/>
          <w:b/>
          <w:highlight w:val="none"/>
        </w:rPr>
        <w:t>主管部门：</w:t>
      </w:r>
      <w:r>
        <w:rPr>
          <w:rFonts w:hint="eastAsia" w:eastAsia="小标宋"/>
          <w:b/>
          <w:highlight w:val="none"/>
          <w:lang w:val="en-US" w:eastAsia="zh-CN"/>
        </w:rPr>
        <w:t>遂宁市文学艺术界联合会</w:t>
      </w:r>
    </w:p>
    <w:p w14:paraId="211EEB06">
      <w:pPr>
        <w:pStyle w:val="39"/>
        <w:spacing w:line="600" w:lineRule="exact"/>
        <w:ind w:left="1680"/>
        <w:outlineLvl w:val="9"/>
        <w:rPr>
          <w:rFonts w:eastAsia="小标宋"/>
          <w:b/>
          <w:highlight w:val="none"/>
        </w:rPr>
      </w:pPr>
      <w:r>
        <w:rPr>
          <w:rFonts w:hint="eastAsia" w:eastAsia="小标宋"/>
          <w:b/>
          <w:highlight w:val="none"/>
        </w:rPr>
        <w:t>委托单位：</w:t>
      </w:r>
      <w:r>
        <w:rPr>
          <w:rFonts w:hint="eastAsia" w:eastAsia="小标宋"/>
          <w:b/>
          <w:highlight w:val="none"/>
          <w:lang w:val="en-US" w:eastAsia="zh-CN"/>
        </w:rPr>
        <w:t>遂宁市</w:t>
      </w:r>
      <w:r>
        <w:rPr>
          <w:rFonts w:hint="eastAsia" w:eastAsia="小标宋"/>
          <w:b/>
          <w:highlight w:val="none"/>
        </w:rPr>
        <w:t>财政局</w:t>
      </w:r>
    </w:p>
    <w:p w14:paraId="5A2A6EAA">
      <w:pPr>
        <w:pStyle w:val="39"/>
        <w:spacing w:line="600" w:lineRule="exact"/>
        <w:ind w:left="1680"/>
        <w:outlineLvl w:val="9"/>
        <w:rPr>
          <w:rFonts w:eastAsia="小标宋"/>
          <w:b/>
          <w:highlight w:val="none"/>
        </w:rPr>
      </w:pPr>
      <w:r>
        <w:rPr>
          <w:rFonts w:hint="eastAsia" w:eastAsia="小标宋"/>
          <w:b/>
          <w:highlight w:val="none"/>
        </w:rPr>
        <w:t>评价机构：</w:t>
      </w:r>
      <w:r>
        <w:rPr>
          <w:rFonts w:hint="eastAsia" w:eastAsia="小标宋"/>
          <w:b/>
          <w:highlight w:val="none"/>
          <w:lang w:val="en-US" w:eastAsia="zh-CN"/>
        </w:rPr>
        <w:t>四川质联</w:t>
      </w:r>
      <w:r>
        <w:rPr>
          <w:rFonts w:hint="eastAsia" w:eastAsia="小标宋"/>
          <w:b/>
          <w:highlight w:val="none"/>
        </w:rPr>
        <w:t>企业管理咨询有限公司</w:t>
      </w:r>
    </w:p>
    <w:p w14:paraId="38C75554">
      <w:pPr>
        <w:jc w:val="center"/>
        <w:rPr>
          <w:rFonts w:ascii="Times New Roman" w:hAnsi="Times New Roman" w:eastAsia="小标宋" w:cs="Times New Roman"/>
          <w:b/>
          <w:sz w:val="44"/>
          <w:szCs w:val="44"/>
          <w:highlight w:val="none"/>
        </w:rPr>
      </w:pPr>
    </w:p>
    <w:p w14:paraId="7D06A91B">
      <w:pPr>
        <w:jc w:val="center"/>
        <w:rPr>
          <w:rFonts w:ascii="Times New Roman" w:hAnsi="Times New Roman" w:eastAsia="小标宋" w:cs="Times New Roman"/>
          <w:b/>
          <w:sz w:val="44"/>
          <w:szCs w:val="44"/>
          <w:highlight w:val="none"/>
        </w:rPr>
      </w:pPr>
    </w:p>
    <w:p w14:paraId="468F0D94">
      <w:pPr>
        <w:jc w:val="center"/>
        <w:rPr>
          <w:rFonts w:ascii="Times New Roman" w:hAnsi="Times New Roman" w:eastAsia="小标宋" w:cs="Times New Roman"/>
          <w:b/>
          <w:sz w:val="44"/>
          <w:szCs w:val="44"/>
          <w:highlight w:val="none"/>
        </w:rPr>
      </w:pPr>
    </w:p>
    <w:p w14:paraId="4DAA6F1E">
      <w:pPr>
        <w:jc w:val="center"/>
        <w:rPr>
          <w:rFonts w:ascii="Times New Roman" w:hAnsi="Times New Roman" w:eastAsia="小标宋" w:cs="Times New Roman"/>
          <w:b/>
          <w:sz w:val="44"/>
          <w:szCs w:val="44"/>
          <w:highlight w:val="none"/>
        </w:rPr>
      </w:pPr>
    </w:p>
    <w:p w14:paraId="36101D70">
      <w:pPr>
        <w:pStyle w:val="40"/>
        <w:rPr>
          <w:rFonts w:eastAsia="小标宋"/>
          <w:highlight w:val="none"/>
        </w:rPr>
      </w:pPr>
      <w:r>
        <w:rPr>
          <w:rFonts w:eastAsia="小标宋"/>
          <w:highlight w:val="none"/>
        </w:rPr>
        <w:t>202</w:t>
      </w:r>
      <w:r>
        <w:rPr>
          <w:rFonts w:hint="eastAsia" w:eastAsia="小标宋"/>
          <w:highlight w:val="none"/>
          <w:lang w:val="en-US" w:eastAsia="zh-CN"/>
        </w:rPr>
        <w:t>4</w:t>
      </w:r>
      <w:r>
        <w:rPr>
          <w:rFonts w:eastAsia="小标宋"/>
          <w:highlight w:val="none"/>
        </w:rPr>
        <w:t>年</w:t>
      </w:r>
      <w:r>
        <w:rPr>
          <w:rFonts w:hint="eastAsia" w:eastAsia="小标宋"/>
          <w:highlight w:val="none"/>
          <w:lang w:val="en-US" w:eastAsia="zh-CN"/>
        </w:rPr>
        <w:t>7</w:t>
      </w:r>
      <w:r>
        <w:rPr>
          <w:rFonts w:eastAsia="小标宋"/>
          <w:highlight w:val="none"/>
        </w:rPr>
        <w:t>月</w:t>
      </w:r>
    </w:p>
    <w:p w14:paraId="3D62D05A">
      <w:pPr>
        <w:pStyle w:val="40"/>
        <w:ind w:left="1680"/>
        <w:rPr>
          <w:highlight w:val="none"/>
        </w:rPr>
      </w:pPr>
    </w:p>
    <w:p w14:paraId="63861047">
      <w:pPr>
        <w:spacing w:before="156" w:beforeLines="50" w:line="360" w:lineRule="auto"/>
        <w:rPr>
          <w:b/>
          <w:sz w:val="36"/>
          <w:szCs w:val="36"/>
          <w:highlight w:val="none"/>
        </w:rPr>
      </w:pPr>
      <w:bookmarkStart w:id="0" w:name="OLE_LINK4"/>
      <w:bookmarkEnd w:id="0"/>
      <w:bookmarkStart w:id="1" w:name="OLE_LINK8"/>
      <w:bookmarkEnd w:id="1"/>
    </w:p>
    <w:p w14:paraId="2007CDBA">
      <w:pPr>
        <w:spacing w:before="156" w:beforeLines="50" w:line="360" w:lineRule="auto"/>
        <w:jc w:val="center"/>
        <w:outlineLvl w:val="9"/>
        <w:rPr>
          <w:rFonts w:hint="eastAsia"/>
          <w:b/>
          <w:sz w:val="36"/>
          <w:szCs w:val="36"/>
          <w:highlight w:val="none"/>
        </w:rPr>
      </w:pPr>
      <w:bookmarkStart w:id="2" w:name="_Toc62481753"/>
      <w:r>
        <w:rPr>
          <w:rFonts w:hint="eastAsia"/>
          <w:b/>
          <w:sz w:val="36"/>
          <w:szCs w:val="36"/>
          <w:highlight w:val="none"/>
        </w:rPr>
        <w:t>摘要</w:t>
      </w:r>
      <w:bookmarkEnd w:id="2"/>
    </w:p>
    <w:p w14:paraId="7FC32352">
      <w:pPr>
        <w:spacing w:before="156" w:beforeLines="50" w:line="360" w:lineRule="auto"/>
        <w:jc w:val="both"/>
        <w:rPr>
          <w:rFonts w:hint="eastAsia"/>
          <w:b/>
          <w:sz w:val="36"/>
          <w:szCs w:val="36"/>
          <w:highlight w:val="none"/>
        </w:rPr>
      </w:pPr>
    </w:p>
    <w:p w14:paraId="7CCF3190">
      <w:pPr>
        <w:pStyle w:val="3"/>
        <w:rPr>
          <w:rFonts w:hint="eastAsia"/>
          <w:highlight w:val="none"/>
          <w:lang w:val="en-US" w:eastAsia="zh-CN"/>
        </w:rPr>
      </w:pPr>
      <w:r>
        <w:rPr>
          <w:rFonts w:hint="eastAsia"/>
          <w:highlight w:val="none"/>
          <w:lang w:val="en-US" w:eastAsia="zh-CN"/>
        </w:rPr>
        <w:t>遂宁市文学艺术界联合会履行制定并实施重大文艺活动创作规划、抓好文艺评论和理论研讨工作、办好机关刊物《川中文学》等职能职责，内设办公室和组织联络部2个科室，主管遂宁市作家协会、遂宁市书法家协会、遂宁市美术家协会、遂宁市音乐家协会等17个市级各艺术门类文艺家协会（学会、研究会），目前在职人员7名。</w:t>
      </w:r>
    </w:p>
    <w:p w14:paraId="31F06041">
      <w:pPr>
        <w:pStyle w:val="3"/>
        <w:rPr>
          <w:rFonts w:hint="eastAsia"/>
          <w:highlight w:val="none"/>
          <w:lang w:val="en-US" w:eastAsia="zh-CN"/>
        </w:rPr>
      </w:pPr>
      <w:bookmarkStart w:id="3" w:name="_Toc16922"/>
      <w:r>
        <w:rPr>
          <w:rFonts w:hint="eastAsia"/>
          <w:highlight w:val="none"/>
          <w:lang w:val="en-US" w:eastAsia="zh-CN"/>
        </w:rPr>
        <w:t>一、评价结论</w:t>
      </w:r>
      <w:bookmarkEnd w:id="3"/>
    </w:p>
    <w:p w14:paraId="399B50E0">
      <w:pPr>
        <w:pStyle w:val="3"/>
        <w:rPr>
          <w:rFonts w:hint="eastAsia"/>
          <w:highlight w:val="none"/>
          <w:lang w:val="en-US" w:eastAsia="zh-CN"/>
        </w:rPr>
      </w:pPr>
      <w:r>
        <w:rPr>
          <w:rFonts w:hint="eastAsia"/>
          <w:highlight w:val="none"/>
          <w:lang w:val="en-US" w:eastAsia="zh-CN"/>
        </w:rPr>
        <w:t>2023年，遂宁市文学艺术界联合会部门整体预算目标任务与部门职责、中长期规划相符，目标任务设置基本合理，预算测算依据充分，绩效目标科学合理性有待提升，重点工作任务基本完成，总得分为92.2分。</w:t>
      </w:r>
    </w:p>
    <w:p w14:paraId="43F8057A">
      <w:pPr>
        <w:pStyle w:val="3"/>
        <w:rPr>
          <w:rFonts w:hint="eastAsia"/>
          <w:highlight w:val="none"/>
          <w:lang w:val="en-US" w:eastAsia="zh-CN"/>
        </w:rPr>
      </w:pPr>
      <w:bookmarkStart w:id="4" w:name="_Toc18932"/>
      <w:r>
        <w:rPr>
          <w:rFonts w:hint="eastAsia"/>
          <w:highlight w:val="none"/>
          <w:lang w:val="en-US" w:eastAsia="zh-CN"/>
        </w:rPr>
        <w:t>二、存在问题</w:t>
      </w:r>
      <w:bookmarkEnd w:id="4"/>
    </w:p>
    <w:p w14:paraId="430DB6A0">
      <w:pPr>
        <w:pStyle w:val="3"/>
        <w:rPr>
          <w:rFonts w:hint="eastAsia"/>
          <w:highlight w:val="none"/>
          <w:lang w:val="en-US" w:eastAsia="zh-CN"/>
        </w:rPr>
      </w:pPr>
      <w:r>
        <w:rPr>
          <w:rFonts w:hint="eastAsia"/>
          <w:highlight w:val="none"/>
          <w:lang w:val="en-US" w:eastAsia="zh-CN"/>
        </w:rPr>
        <w:t>市文联主要存在以下三个问题：一是绩效管理质量有待提高；二是预算执行进度存在偏离；三是预算绩效挂钩制度不健全。</w:t>
      </w:r>
    </w:p>
    <w:p w14:paraId="20231FD6">
      <w:pPr>
        <w:pStyle w:val="3"/>
        <w:rPr>
          <w:rFonts w:hint="eastAsia"/>
          <w:highlight w:val="none"/>
          <w:lang w:val="en-US" w:eastAsia="zh-CN"/>
        </w:rPr>
      </w:pPr>
      <w:bookmarkStart w:id="5" w:name="_Toc7479"/>
      <w:r>
        <w:rPr>
          <w:rFonts w:hint="eastAsia"/>
          <w:highlight w:val="none"/>
          <w:lang w:val="en-US" w:eastAsia="zh-CN"/>
        </w:rPr>
        <w:t>三、相关建议</w:t>
      </w:r>
      <w:bookmarkEnd w:id="5"/>
    </w:p>
    <w:p w14:paraId="7371C665">
      <w:pPr>
        <w:pStyle w:val="3"/>
        <w:rPr>
          <w:rFonts w:hint="eastAsia"/>
          <w:highlight w:val="none"/>
        </w:rPr>
      </w:pPr>
      <w:r>
        <w:rPr>
          <w:rFonts w:hint="eastAsia"/>
          <w:highlight w:val="none"/>
          <w:lang w:val="en-US" w:eastAsia="zh-CN"/>
        </w:rPr>
        <w:t>因此，评价组从以下三个方面提出建议：一是提高绩效管理质量；二是提高预算执行进度；三是制定预算绩效挂钩制度</w:t>
      </w:r>
      <w:r>
        <w:rPr>
          <w:rFonts w:hint="eastAsia"/>
          <w:highlight w:val="none"/>
        </w:rPr>
        <w:t>。</w:t>
      </w:r>
    </w:p>
    <w:p w14:paraId="201B576D">
      <w:pPr>
        <w:pStyle w:val="3"/>
        <w:rPr>
          <w:rFonts w:hint="eastAsia"/>
          <w:highlight w:val="none"/>
        </w:rPr>
        <w:sectPr>
          <w:pgSz w:w="11906" w:h="16838"/>
          <w:pgMar w:top="1440" w:right="1800" w:bottom="1440" w:left="1800" w:header="851" w:footer="992" w:gutter="0"/>
          <w:pgNumType w:fmt="upperRoman" w:start="1"/>
          <w:cols w:space="425" w:num="1"/>
          <w:docGrid w:type="lines" w:linePitch="312" w:charSpace="0"/>
        </w:sectPr>
      </w:pPr>
    </w:p>
    <w:p w14:paraId="2D569E9B">
      <w:pPr>
        <w:spacing w:before="156" w:beforeLines="50" w:line="360" w:lineRule="auto"/>
        <w:jc w:val="center"/>
        <w:rPr>
          <w:b/>
          <w:sz w:val="36"/>
          <w:szCs w:val="36"/>
          <w:highlight w:val="none"/>
        </w:rPr>
      </w:pPr>
      <w:r>
        <w:rPr>
          <w:rFonts w:hint="eastAsia"/>
          <w:b/>
          <w:sz w:val="36"/>
          <w:szCs w:val="36"/>
          <w:highlight w:val="none"/>
        </w:rPr>
        <w:t>目录</w:t>
      </w:r>
    </w:p>
    <w:p w14:paraId="3B2AA8D1">
      <w:pPr>
        <w:pStyle w:val="17"/>
        <w:tabs>
          <w:tab w:val="right" w:leader="dot" w:pos="8306"/>
          <w:tab w:val="clear" w:pos="8296"/>
        </w:tabs>
        <w:rPr>
          <w:highlight w:val="none"/>
        </w:rPr>
      </w:pPr>
      <w:r>
        <w:rPr>
          <w:sz w:val="21"/>
          <w:highlight w:val="none"/>
        </w:rPr>
        <w:fldChar w:fldCharType="begin"/>
      </w:r>
      <w:r>
        <w:rPr>
          <w:sz w:val="21"/>
          <w:highlight w:val="none"/>
        </w:rPr>
        <w:instrText xml:space="preserve"> TOC \o "1-2" \h \z \u </w:instrText>
      </w:r>
      <w:r>
        <w:rPr>
          <w:sz w:val="21"/>
          <w:highlight w:val="none"/>
        </w:rPr>
        <w:fldChar w:fldCharType="separate"/>
      </w:r>
      <w:r>
        <w:rPr>
          <w:highlight w:val="none"/>
        </w:rPr>
        <w:fldChar w:fldCharType="begin"/>
      </w:r>
      <w:r>
        <w:rPr>
          <w:highlight w:val="none"/>
        </w:rPr>
        <w:instrText xml:space="preserve"> HYPERLINK \l _Toc7317 </w:instrText>
      </w:r>
      <w:r>
        <w:rPr>
          <w:highlight w:val="none"/>
        </w:rPr>
        <w:fldChar w:fldCharType="separate"/>
      </w:r>
      <w:r>
        <w:rPr>
          <w:rFonts w:hint="eastAsia"/>
          <w:highlight w:val="none"/>
          <w:lang w:val="en-US" w:eastAsia="zh-CN"/>
        </w:rPr>
        <w:t>一、部门（单位）概况</w:t>
      </w:r>
      <w:r>
        <w:rPr>
          <w:highlight w:val="none"/>
        </w:rPr>
        <w:tab/>
      </w:r>
      <w:r>
        <w:rPr>
          <w:highlight w:val="none"/>
        </w:rPr>
        <w:fldChar w:fldCharType="begin"/>
      </w:r>
      <w:r>
        <w:rPr>
          <w:highlight w:val="none"/>
        </w:rPr>
        <w:instrText xml:space="preserve"> PAGEREF _Toc7317 \h </w:instrText>
      </w:r>
      <w:r>
        <w:rPr>
          <w:highlight w:val="none"/>
        </w:rPr>
        <w:fldChar w:fldCharType="separate"/>
      </w:r>
      <w:r>
        <w:rPr>
          <w:highlight w:val="none"/>
        </w:rPr>
        <w:t>1</w:t>
      </w:r>
      <w:r>
        <w:rPr>
          <w:highlight w:val="none"/>
        </w:rPr>
        <w:fldChar w:fldCharType="end"/>
      </w:r>
      <w:r>
        <w:rPr>
          <w:highlight w:val="none"/>
        </w:rPr>
        <w:fldChar w:fldCharType="end"/>
      </w:r>
    </w:p>
    <w:p w14:paraId="50E93CE1">
      <w:pPr>
        <w:pStyle w:val="20"/>
        <w:tabs>
          <w:tab w:val="right" w:leader="dot" w:pos="8306"/>
          <w:tab w:val="clear" w:pos="8296"/>
        </w:tabs>
        <w:rPr>
          <w:highlight w:val="none"/>
        </w:rPr>
      </w:pPr>
      <w:r>
        <w:rPr>
          <w:highlight w:val="none"/>
        </w:rPr>
        <w:fldChar w:fldCharType="begin"/>
      </w:r>
      <w:r>
        <w:rPr>
          <w:highlight w:val="none"/>
        </w:rPr>
        <w:instrText xml:space="preserve"> HYPERLINK \l _Toc11717 </w:instrText>
      </w:r>
      <w:r>
        <w:rPr>
          <w:highlight w:val="none"/>
        </w:rPr>
        <w:fldChar w:fldCharType="separate"/>
      </w:r>
      <w:r>
        <w:rPr>
          <w:rFonts w:hint="eastAsia"/>
          <w:highlight w:val="none"/>
        </w:rPr>
        <w:t>（一）</w:t>
      </w:r>
      <w:r>
        <w:rPr>
          <w:rFonts w:hint="eastAsia"/>
          <w:highlight w:val="none"/>
          <w:lang w:val="en-US" w:eastAsia="zh-CN"/>
        </w:rPr>
        <w:t>部门（单位）</w:t>
      </w:r>
      <w:r>
        <w:rPr>
          <w:rFonts w:hint="eastAsia"/>
          <w:highlight w:val="none"/>
        </w:rPr>
        <w:t>职能</w:t>
      </w:r>
      <w:bookmarkStart w:id="25" w:name="_GoBack"/>
      <w:bookmarkEnd w:id="25"/>
      <w:r>
        <w:rPr>
          <w:rFonts w:hint="eastAsia"/>
          <w:highlight w:val="none"/>
          <w:lang w:val="en-US" w:eastAsia="zh-CN"/>
        </w:rPr>
        <w:t>职责</w:t>
      </w:r>
      <w:r>
        <w:rPr>
          <w:highlight w:val="none"/>
        </w:rPr>
        <w:tab/>
      </w:r>
      <w:r>
        <w:rPr>
          <w:highlight w:val="none"/>
        </w:rPr>
        <w:fldChar w:fldCharType="begin"/>
      </w:r>
      <w:r>
        <w:rPr>
          <w:highlight w:val="none"/>
        </w:rPr>
        <w:instrText xml:space="preserve"> PAGEREF _Toc11717 \h </w:instrText>
      </w:r>
      <w:r>
        <w:rPr>
          <w:highlight w:val="none"/>
        </w:rPr>
        <w:fldChar w:fldCharType="separate"/>
      </w:r>
      <w:r>
        <w:rPr>
          <w:highlight w:val="none"/>
        </w:rPr>
        <w:t>1</w:t>
      </w:r>
      <w:r>
        <w:rPr>
          <w:highlight w:val="none"/>
        </w:rPr>
        <w:fldChar w:fldCharType="end"/>
      </w:r>
      <w:r>
        <w:rPr>
          <w:highlight w:val="none"/>
        </w:rPr>
        <w:fldChar w:fldCharType="end"/>
      </w:r>
    </w:p>
    <w:p w14:paraId="0349D18B">
      <w:pPr>
        <w:pStyle w:val="20"/>
        <w:tabs>
          <w:tab w:val="right" w:leader="dot" w:pos="8306"/>
          <w:tab w:val="clear" w:pos="8296"/>
        </w:tabs>
        <w:rPr>
          <w:highlight w:val="none"/>
        </w:rPr>
      </w:pPr>
      <w:r>
        <w:rPr>
          <w:highlight w:val="none"/>
        </w:rPr>
        <w:fldChar w:fldCharType="begin"/>
      </w:r>
      <w:r>
        <w:rPr>
          <w:highlight w:val="none"/>
        </w:rPr>
        <w:instrText xml:space="preserve"> HYPERLINK \l _Toc24935 </w:instrText>
      </w:r>
      <w:r>
        <w:rPr>
          <w:highlight w:val="none"/>
        </w:rPr>
        <w:fldChar w:fldCharType="separate"/>
      </w:r>
      <w:r>
        <w:rPr>
          <w:rFonts w:hint="eastAsia"/>
          <w:highlight w:val="none"/>
        </w:rPr>
        <w:t>（二）</w:t>
      </w:r>
      <w:r>
        <w:rPr>
          <w:rFonts w:hint="eastAsia"/>
          <w:highlight w:val="none"/>
          <w:lang w:val="en-US" w:eastAsia="zh-CN"/>
        </w:rPr>
        <w:t>部门组织架构</w:t>
      </w:r>
      <w:r>
        <w:rPr>
          <w:highlight w:val="none"/>
        </w:rPr>
        <w:tab/>
      </w:r>
      <w:r>
        <w:rPr>
          <w:highlight w:val="none"/>
        </w:rPr>
        <w:fldChar w:fldCharType="begin"/>
      </w:r>
      <w:r>
        <w:rPr>
          <w:highlight w:val="none"/>
        </w:rPr>
        <w:instrText xml:space="preserve"> PAGEREF _Toc24935 \h </w:instrText>
      </w:r>
      <w:r>
        <w:rPr>
          <w:highlight w:val="none"/>
        </w:rPr>
        <w:fldChar w:fldCharType="separate"/>
      </w:r>
      <w:r>
        <w:rPr>
          <w:highlight w:val="none"/>
        </w:rPr>
        <w:t>2</w:t>
      </w:r>
      <w:r>
        <w:rPr>
          <w:highlight w:val="none"/>
        </w:rPr>
        <w:fldChar w:fldCharType="end"/>
      </w:r>
      <w:r>
        <w:rPr>
          <w:highlight w:val="none"/>
        </w:rPr>
        <w:fldChar w:fldCharType="end"/>
      </w:r>
    </w:p>
    <w:p w14:paraId="27F65F10">
      <w:pPr>
        <w:pStyle w:val="20"/>
        <w:tabs>
          <w:tab w:val="right" w:leader="dot" w:pos="8306"/>
          <w:tab w:val="clear" w:pos="8296"/>
        </w:tabs>
        <w:rPr>
          <w:highlight w:val="none"/>
        </w:rPr>
      </w:pPr>
      <w:r>
        <w:rPr>
          <w:highlight w:val="none"/>
        </w:rPr>
        <w:fldChar w:fldCharType="begin"/>
      </w:r>
      <w:r>
        <w:rPr>
          <w:highlight w:val="none"/>
        </w:rPr>
        <w:instrText xml:space="preserve"> HYPERLINK \l _Toc8730 </w:instrText>
      </w:r>
      <w:r>
        <w:rPr>
          <w:highlight w:val="none"/>
        </w:rPr>
        <w:fldChar w:fldCharType="separate"/>
      </w:r>
      <w:r>
        <w:rPr>
          <w:rFonts w:hint="eastAsia"/>
          <w:highlight w:val="none"/>
          <w:lang w:val="en-US" w:eastAsia="zh-CN"/>
        </w:rPr>
        <w:t>（三）当年部门（单位）重点工作任务概述</w:t>
      </w:r>
      <w:r>
        <w:rPr>
          <w:highlight w:val="none"/>
        </w:rPr>
        <w:tab/>
      </w:r>
      <w:r>
        <w:rPr>
          <w:highlight w:val="none"/>
        </w:rPr>
        <w:fldChar w:fldCharType="begin"/>
      </w:r>
      <w:r>
        <w:rPr>
          <w:highlight w:val="none"/>
        </w:rPr>
        <w:instrText xml:space="preserve"> PAGEREF _Toc8730 \h </w:instrText>
      </w:r>
      <w:r>
        <w:rPr>
          <w:highlight w:val="none"/>
        </w:rPr>
        <w:fldChar w:fldCharType="separate"/>
      </w:r>
      <w:r>
        <w:rPr>
          <w:highlight w:val="none"/>
        </w:rPr>
        <w:t>2</w:t>
      </w:r>
      <w:r>
        <w:rPr>
          <w:highlight w:val="none"/>
        </w:rPr>
        <w:fldChar w:fldCharType="end"/>
      </w:r>
      <w:r>
        <w:rPr>
          <w:highlight w:val="none"/>
        </w:rPr>
        <w:fldChar w:fldCharType="end"/>
      </w:r>
    </w:p>
    <w:p w14:paraId="2B0589E9">
      <w:pPr>
        <w:pStyle w:val="17"/>
        <w:tabs>
          <w:tab w:val="right" w:leader="dot" w:pos="8306"/>
          <w:tab w:val="clear" w:pos="8296"/>
        </w:tabs>
        <w:rPr>
          <w:highlight w:val="none"/>
        </w:rPr>
      </w:pPr>
      <w:r>
        <w:rPr>
          <w:highlight w:val="none"/>
        </w:rPr>
        <w:fldChar w:fldCharType="begin"/>
      </w:r>
      <w:r>
        <w:rPr>
          <w:highlight w:val="none"/>
        </w:rPr>
        <w:instrText xml:space="preserve"> HYPERLINK \l _Toc22953 </w:instrText>
      </w:r>
      <w:r>
        <w:rPr>
          <w:highlight w:val="none"/>
        </w:rPr>
        <w:fldChar w:fldCharType="separate"/>
      </w:r>
      <w:r>
        <w:rPr>
          <w:rFonts w:hint="eastAsia"/>
          <w:highlight w:val="none"/>
          <w:lang w:val="en-US" w:eastAsia="zh-CN"/>
        </w:rPr>
        <w:t>二、财政资金收支情况</w:t>
      </w:r>
      <w:r>
        <w:rPr>
          <w:highlight w:val="none"/>
        </w:rPr>
        <w:tab/>
      </w:r>
      <w:r>
        <w:rPr>
          <w:highlight w:val="none"/>
        </w:rPr>
        <w:fldChar w:fldCharType="begin"/>
      </w:r>
      <w:r>
        <w:rPr>
          <w:highlight w:val="none"/>
        </w:rPr>
        <w:instrText xml:space="preserve"> PAGEREF _Toc22953 \h </w:instrText>
      </w:r>
      <w:r>
        <w:rPr>
          <w:highlight w:val="none"/>
        </w:rPr>
        <w:fldChar w:fldCharType="separate"/>
      </w:r>
      <w:r>
        <w:rPr>
          <w:highlight w:val="none"/>
        </w:rPr>
        <w:t>3</w:t>
      </w:r>
      <w:r>
        <w:rPr>
          <w:highlight w:val="none"/>
        </w:rPr>
        <w:fldChar w:fldCharType="end"/>
      </w:r>
      <w:r>
        <w:rPr>
          <w:highlight w:val="none"/>
        </w:rPr>
        <w:fldChar w:fldCharType="end"/>
      </w:r>
    </w:p>
    <w:p w14:paraId="163AEA91">
      <w:pPr>
        <w:pStyle w:val="20"/>
        <w:tabs>
          <w:tab w:val="right" w:leader="dot" w:pos="8306"/>
          <w:tab w:val="clear" w:pos="8296"/>
        </w:tabs>
        <w:rPr>
          <w:highlight w:val="none"/>
        </w:rPr>
      </w:pPr>
      <w:r>
        <w:rPr>
          <w:highlight w:val="none"/>
        </w:rPr>
        <w:fldChar w:fldCharType="begin"/>
      </w:r>
      <w:r>
        <w:rPr>
          <w:highlight w:val="none"/>
        </w:rPr>
        <w:instrText xml:space="preserve"> HYPERLINK \l _Toc24758 </w:instrText>
      </w:r>
      <w:r>
        <w:rPr>
          <w:highlight w:val="none"/>
        </w:rPr>
        <w:fldChar w:fldCharType="separate"/>
      </w:r>
      <w:r>
        <w:rPr>
          <w:rFonts w:hint="eastAsia"/>
          <w:highlight w:val="none"/>
          <w:lang w:val="en-US" w:eastAsia="zh-CN"/>
        </w:rPr>
        <w:t>（一）收入</w:t>
      </w:r>
      <w:r>
        <w:rPr>
          <w:rFonts w:hint="default"/>
          <w:highlight w:val="none"/>
          <w:lang w:val="en-US" w:eastAsia="zh-CN"/>
        </w:rPr>
        <w:t>情况</w:t>
      </w:r>
      <w:r>
        <w:rPr>
          <w:highlight w:val="none"/>
        </w:rPr>
        <w:tab/>
      </w:r>
      <w:r>
        <w:rPr>
          <w:highlight w:val="none"/>
        </w:rPr>
        <w:fldChar w:fldCharType="begin"/>
      </w:r>
      <w:r>
        <w:rPr>
          <w:highlight w:val="none"/>
        </w:rPr>
        <w:instrText xml:space="preserve"> PAGEREF _Toc24758 \h </w:instrText>
      </w:r>
      <w:r>
        <w:rPr>
          <w:highlight w:val="none"/>
        </w:rPr>
        <w:fldChar w:fldCharType="separate"/>
      </w:r>
      <w:r>
        <w:rPr>
          <w:highlight w:val="none"/>
        </w:rPr>
        <w:t>4</w:t>
      </w:r>
      <w:r>
        <w:rPr>
          <w:highlight w:val="none"/>
        </w:rPr>
        <w:fldChar w:fldCharType="end"/>
      </w:r>
      <w:r>
        <w:rPr>
          <w:highlight w:val="none"/>
        </w:rPr>
        <w:fldChar w:fldCharType="end"/>
      </w:r>
    </w:p>
    <w:p w14:paraId="5906DF9A">
      <w:pPr>
        <w:pStyle w:val="20"/>
        <w:tabs>
          <w:tab w:val="right" w:leader="dot" w:pos="8306"/>
          <w:tab w:val="clear" w:pos="8296"/>
        </w:tabs>
        <w:rPr>
          <w:highlight w:val="none"/>
        </w:rPr>
      </w:pPr>
      <w:r>
        <w:rPr>
          <w:highlight w:val="none"/>
        </w:rPr>
        <w:fldChar w:fldCharType="begin"/>
      </w:r>
      <w:r>
        <w:rPr>
          <w:highlight w:val="none"/>
        </w:rPr>
        <w:instrText xml:space="preserve"> HYPERLINK \l _Toc12877 </w:instrText>
      </w:r>
      <w:r>
        <w:rPr>
          <w:highlight w:val="none"/>
        </w:rPr>
        <w:fldChar w:fldCharType="separate"/>
      </w:r>
      <w:r>
        <w:rPr>
          <w:rFonts w:hint="eastAsia"/>
          <w:highlight w:val="none"/>
          <w:lang w:val="en-US" w:eastAsia="zh-CN"/>
        </w:rPr>
        <w:t>（二）支出</w:t>
      </w:r>
      <w:r>
        <w:rPr>
          <w:rFonts w:hint="default"/>
          <w:highlight w:val="none"/>
          <w:lang w:val="en-US" w:eastAsia="zh-CN"/>
        </w:rPr>
        <w:t>情况</w:t>
      </w:r>
      <w:r>
        <w:rPr>
          <w:highlight w:val="none"/>
        </w:rPr>
        <w:tab/>
      </w:r>
      <w:r>
        <w:rPr>
          <w:highlight w:val="none"/>
        </w:rPr>
        <w:fldChar w:fldCharType="begin"/>
      </w:r>
      <w:r>
        <w:rPr>
          <w:highlight w:val="none"/>
        </w:rPr>
        <w:instrText xml:space="preserve"> PAGEREF _Toc12877 \h </w:instrText>
      </w:r>
      <w:r>
        <w:rPr>
          <w:highlight w:val="none"/>
        </w:rPr>
        <w:fldChar w:fldCharType="separate"/>
      </w:r>
      <w:r>
        <w:rPr>
          <w:highlight w:val="none"/>
        </w:rPr>
        <w:t>4</w:t>
      </w:r>
      <w:r>
        <w:rPr>
          <w:highlight w:val="none"/>
        </w:rPr>
        <w:fldChar w:fldCharType="end"/>
      </w:r>
      <w:r>
        <w:rPr>
          <w:highlight w:val="none"/>
        </w:rPr>
        <w:fldChar w:fldCharType="end"/>
      </w:r>
    </w:p>
    <w:p w14:paraId="69504A60">
      <w:pPr>
        <w:pStyle w:val="17"/>
        <w:tabs>
          <w:tab w:val="right" w:leader="dot" w:pos="8306"/>
          <w:tab w:val="clear" w:pos="8296"/>
        </w:tabs>
        <w:rPr>
          <w:highlight w:val="none"/>
        </w:rPr>
      </w:pPr>
      <w:r>
        <w:rPr>
          <w:highlight w:val="none"/>
        </w:rPr>
        <w:fldChar w:fldCharType="begin"/>
      </w:r>
      <w:r>
        <w:rPr>
          <w:highlight w:val="none"/>
        </w:rPr>
        <w:instrText xml:space="preserve"> HYPERLINK \l _Toc31102 </w:instrText>
      </w:r>
      <w:r>
        <w:rPr>
          <w:highlight w:val="none"/>
        </w:rPr>
        <w:fldChar w:fldCharType="separate"/>
      </w:r>
      <w:r>
        <w:rPr>
          <w:rFonts w:hint="eastAsia"/>
          <w:highlight w:val="none"/>
          <w:lang w:val="en-US" w:eastAsia="zh-CN"/>
        </w:rPr>
        <w:t>三、重点履职绩效分析</w:t>
      </w:r>
      <w:r>
        <w:rPr>
          <w:highlight w:val="none"/>
        </w:rPr>
        <w:tab/>
      </w:r>
      <w:r>
        <w:rPr>
          <w:highlight w:val="none"/>
        </w:rPr>
        <w:fldChar w:fldCharType="begin"/>
      </w:r>
      <w:r>
        <w:rPr>
          <w:highlight w:val="none"/>
        </w:rPr>
        <w:instrText xml:space="preserve"> PAGEREF _Toc31102 \h </w:instrText>
      </w:r>
      <w:r>
        <w:rPr>
          <w:highlight w:val="none"/>
        </w:rPr>
        <w:fldChar w:fldCharType="separate"/>
      </w:r>
      <w:r>
        <w:rPr>
          <w:highlight w:val="none"/>
        </w:rPr>
        <w:t>5</w:t>
      </w:r>
      <w:r>
        <w:rPr>
          <w:highlight w:val="none"/>
        </w:rPr>
        <w:fldChar w:fldCharType="end"/>
      </w:r>
      <w:r>
        <w:rPr>
          <w:highlight w:val="none"/>
        </w:rPr>
        <w:fldChar w:fldCharType="end"/>
      </w:r>
    </w:p>
    <w:p w14:paraId="441F82B5">
      <w:pPr>
        <w:pStyle w:val="20"/>
        <w:tabs>
          <w:tab w:val="right" w:leader="dot" w:pos="8306"/>
          <w:tab w:val="clear" w:pos="8296"/>
        </w:tabs>
        <w:rPr>
          <w:highlight w:val="none"/>
        </w:rPr>
      </w:pPr>
      <w:r>
        <w:rPr>
          <w:highlight w:val="none"/>
        </w:rPr>
        <w:fldChar w:fldCharType="begin"/>
      </w:r>
      <w:r>
        <w:rPr>
          <w:highlight w:val="none"/>
        </w:rPr>
        <w:instrText xml:space="preserve"> HYPERLINK \l _Toc24445 </w:instrText>
      </w:r>
      <w:r>
        <w:rPr>
          <w:highlight w:val="none"/>
        </w:rPr>
        <w:fldChar w:fldCharType="separate"/>
      </w:r>
      <w:r>
        <w:rPr>
          <w:rFonts w:hint="eastAsia"/>
          <w:highlight w:val="none"/>
          <w:lang w:val="en-US" w:eastAsia="zh-CN"/>
        </w:rPr>
        <w:t>（一）文艺工作增强</w:t>
      </w:r>
      <w:r>
        <w:rPr>
          <w:highlight w:val="none"/>
        </w:rPr>
        <w:tab/>
      </w:r>
      <w:r>
        <w:rPr>
          <w:highlight w:val="none"/>
        </w:rPr>
        <w:fldChar w:fldCharType="begin"/>
      </w:r>
      <w:r>
        <w:rPr>
          <w:highlight w:val="none"/>
        </w:rPr>
        <w:instrText xml:space="preserve"> PAGEREF _Toc24445 \h </w:instrText>
      </w:r>
      <w:r>
        <w:rPr>
          <w:highlight w:val="none"/>
        </w:rPr>
        <w:fldChar w:fldCharType="separate"/>
      </w:r>
      <w:r>
        <w:rPr>
          <w:highlight w:val="none"/>
        </w:rPr>
        <w:t>5</w:t>
      </w:r>
      <w:r>
        <w:rPr>
          <w:highlight w:val="none"/>
        </w:rPr>
        <w:fldChar w:fldCharType="end"/>
      </w:r>
      <w:r>
        <w:rPr>
          <w:highlight w:val="none"/>
        </w:rPr>
        <w:fldChar w:fldCharType="end"/>
      </w:r>
    </w:p>
    <w:p w14:paraId="116BD483">
      <w:pPr>
        <w:pStyle w:val="20"/>
        <w:tabs>
          <w:tab w:val="right" w:leader="dot" w:pos="8306"/>
          <w:tab w:val="clear" w:pos="8296"/>
        </w:tabs>
        <w:rPr>
          <w:highlight w:val="none"/>
        </w:rPr>
      </w:pPr>
      <w:r>
        <w:rPr>
          <w:highlight w:val="none"/>
        </w:rPr>
        <w:fldChar w:fldCharType="begin"/>
      </w:r>
      <w:r>
        <w:rPr>
          <w:highlight w:val="none"/>
        </w:rPr>
        <w:instrText xml:space="preserve"> HYPERLINK \l _Toc27773 </w:instrText>
      </w:r>
      <w:r>
        <w:rPr>
          <w:highlight w:val="none"/>
        </w:rPr>
        <w:fldChar w:fldCharType="separate"/>
      </w:r>
      <w:r>
        <w:rPr>
          <w:rFonts w:hint="eastAsia"/>
          <w:highlight w:val="none"/>
          <w:lang w:val="en-US" w:eastAsia="zh-CN"/>
        </w:rPr>
        <w:t>（二）开展文艺活动</w:t>
      </w:r>
      <w:r>
        <w:rPr>
          <w:highlight w:val="none"/>
        </w:rPr>
        <w:tab/>
      </w:r>
      <w:r>
        <w:rPr>
          <w:highlight w:val="none"/>
        </w:rPr>
        <w:fldChar w:fldCharType="begin"/>
      </w:r>
      <w:r>
        <w:rPr>
          <w:highlight w:val="none"/>
        </w:rPr>
        <w:instrText xml:space="preserve"> PAGEREF _Toc27773 \h </w:instrText>
      </w:r>
      <w:r>
        <w:rPr>
          <w:highlight w:val="none"/>
        </w:rPr>
        <w:fldChar w:fldCharType="separate"/>
      </w:r>
      <w:r>
        <w:rPr>
          <w:highlight w:val="none"/>
        </w:rPr>
        <w:t>6</w:t>
      </w:r>
      <w:r>
        <w:rPr>
          <w:highlight w:val="none"/>
        </w:rPr>
        <w:fldChar w:fldCharType="end"/>
      </w:r>
      <w:r>
        <w:rPr>
          <w:highlight w:val="none"/>
        </w:rPr>
        <w:fldChar w:fldCharType="end"/>
      </w:r>
    </w:p>
    <w:p w14:paraId="527E743C">
      <w:pPr>
        <w:pStyle w:val="20"/>
        <w:tabs>
          <w:tab w:val="right" w:leader="dot" w:pos="8306"/>
          <w:tab w:val="clear" w:pos="8296"/>
        </w:tabs>
        <w:rPr>
          <w:highlight w:val="none"/>
        </w:rPr>
      </w:pPr>
      <w:r>
        <w:rPr>
          <w:highlight w:val="none"/>
        </w:rPr>
        <w:fldChar w:fldCharType="begin"/>
      </w:r>
      <w:r>
        <w:rPr>
          <w:highlight w:val="none"/>
        </w:rPr>
        <w:instrText xml:space="preserve"> HYPERLINK \l _Toc29555 </w:instrText>
      </w:r>
      <w:r>
        <w:rPr>
          <w:highlight w:val="none"/>
        </w:rPr>
        <w:fldChar w:fldCharType="separate"/>
      </w:r>
      <w:r>
        <w:rPr>
          <w:rFonts w:hint="eastAsia"/>
          <w:highlight w:val="none"/>
          <w:lang w:val="en-US" w:eastAsia="zh-CN"/>
        </w:rPr>
        <w:t>（三）创作文艺精品</w:t>
      </w:r>
      <w:r>
        <w:rPr>
          <w:highlight w:val="none"/>
        </w:rPr>
        <w:tab/>
      </w:r>
      <w:r>
        <w:rPr>
          <w:highlight w:val="none"/>
        </w:rPr>
        <w:fldChar w:fldCharType="begin"/>
      </w:r>
      <w:r>
        <w:rPr>
          <w:highlight w:val="none"/>
        </w:rPr>
        <w:instrText xml:space="preserve"> PAGEREF _Toc29555 \h </w:instrText>
      </w:r>
      <w:r>
        <w:rPr>
          <w:highlight w:val="none"/>
        </w:rPr>
        <w:fldChar w:fldCharType="separate"/>
      </w:r>
      <w:r>
        <w:rPr>
          <w:highlight w:val="none"/>
        </w:rPr>
        <w:t>7</w:t>
      </w:r>
      <w:r>
        <w:rPr>
          <w:highlight w:val="none"/>
        </w:rPr>
        <w:fldChar w:fldCharType="end"/>
      </w:r>
      <w:r>
        <w:rPr>
          <w:highlight w:val="none"/>
        </w:rPr>
        <w:fldChar w:fldCharType="end"/>
      </w:r>
    </w:p>
    <w:p w14:paraId="66C70314">
      <w:pPr>
        <w:pStyle w:val="20"/>
        <w:tabs>
          <w:tab w:val="right" w:leader="dot" w:pos="8306"/>
          <w:tab w:val="clear" w:pos="8296"/>
        </w:tabs>
        <w:rPr>
          <w:highlight w:val="none"/>
        </w:rPr>
      </w:pPr>
      <w:r>
        <w:rPr>
          <w:highlight w:val="none"/>
        </w:rPr>
        <w:fldChar w:fldCharType="begin"/>
      </w:r>
      <w:r>
        <w:rPr>
          <w:highlight w:val="none"/>
        </w:rPr>
        <w:instrText xml:space="preserve"> HYPERLINK \l _Toc21471 </w:instrText>
      </w:r>
      <w:r>
        <w:rPr>
          <w:highlight w:val="none"/>
        </w:rPr>
        <w:fldChar w:fldCharType="separate"/>
      </w:r>
      <w:r>
        <w:rPr>
          <w:rFonts w:hint="eastAsia"/>
          <w:highlight w:val="none"/>
          <w:lang w:val="en-US" w:eastAsia="zh-CN"/>
        </w:rPr>
        <w:t>（四）夯实创新发展根基</w:t>
      </w:r>
      <w:r>
        <w:rPr>
          <w:highlight w:val="none"/>
        </w:rPr>
        <w:tab/>
      </w:r>
      <w:r>
        <w:rPr>
          <w:highlight w:val="none"/>
        </w:rPr>
        <w:fldChar w:fldCharType="begin"/>
      </w:r>
      <w:r>
        <w:rPr>
          <w:highlight w:val="none"/>
        </w:rPr>
        <w:instrText xml:space="preserve"> PAGEREF _Toc21471 \h </w:instrText>
      </w:r>
      <w:r>
        <w:rPr>
          <w:highlight w:val="none"/>
        </w:rPr>
        <w:fldChar w:fldCharType="separate"/>
      </w:r>
      <w:r>
        <w:rPr>
          <w:highlight w:val="none"/>
        </w:rPr>
        <w:t>8</w:t>
      </w:r>
      <w:r>
        <w:rPr>
          <w:highlight w:val="none"/>
        </w:rPr>
        <w:fldChar w:fldCharType="end"/>
      </w:r>
      <w:r>
        <w:rPr>
          <w:highlight w:val="none"/>
        </w:rPr>
        <w:fldChar w:fldCharType="end"/>
      </w:r>
    </w:p>
    <w:p w14:paraId="3131AA54">
      <w:pPr>
        <w:pStyle w:val="17"/>
        <w:tabs>
          <w:tab w:val="right" w:leader="dot" w:pos="8306"/>
          <w:tab w:val="clear" w:pos="8296"/>
        </w:tabs>
        <w:rPr>
          <w:highlight w:val="none"/>
        </w:rPr>
      </w:pPr>
      <w:r>
        <w:rPr>
          <w:highlight w:val="none"/>
        </w:rPr>
        <w:fldChar w:fldCharType="begin"/>
      </w:r>
      <w:r>
        <w:rPr>
          <w:highlight w:val="none"/>
        </w:rPr>
        <w:instrText xml:space="preserve"> HYPERLINK \l _Toc5409 </w:instrText>
      </w:r>
      <w:r>
        <w:rPr>
          <w:highlight w:val="none"/>
        </w:rPr>
        <w:fldChar w:fldCharType="separate"/>
      </w:r>
      <w:r>
        <w:rPr>
          <w:rFonts w:hint="eastAsia"/>
          <w:highlight w:val="none"/>
          <w:lang w:val="en-US" w:eastAsia="zh-CN"/>
        </w:rPr>
        <w:t>四、</w:t>
      </w:r>
      <w:r>
        <w:rPr>
          <w:rFonts w:hint="eastAsia"/>
          <w:highlight w:val="none"/>
          <w:lang w:val="en-US" w:eastAsia="en-US"/>
        </w:rPr>
        <w:t>评价结论及</w:t>
      </w:r>
      <w:r>
        <w:rPr>
          <w:rFonts w:hint="eastAsia"/>
          <w:highlight w:val="none"/>
          <w:lang w:val="en-US" w:eastAsia="zh-CN"/>
        </w:rPr>
        <w:t>指标分析</w:t>
      </w:r>
      <w:r>
        <w:rPr>
          <w:highlight w:val="none"/>
        </w:rPr>
        <w:tab/>
      </w:r>
      <w:r>
        <w:rPr>
          <w:highlight w:val="none"/>
        </w:rPr>
        <w:fldChar w:fldCharType="begin"/>
      </w:r>
      <w:r>
        <w:rPr>
          <w:highlight w:val="none"/>
        </w:rPr>
        <w:instrText xml:space="preserve"> PAGEREF _Toc5409 \h </w:instrText>
      </w:r>
      <w:r>
        <w:rPr>
          <w:highlight w:val="none"/>
        </w:rPr>
        <w:fldChar w:fldCharType="separate"/>
      </w:r>
      <w:r>
        <w:rPr>
          <w:highlight w:val="none"/>
        </w:rPr>
        <w:t>9</w:t>
      </w:r>
      <w:r>
        <w:rPr>
          <w:highlight w:val="none"/>
        </w:rPr>
        <w:fldChar w:fldCharType="end"/>
      </w:r>
      <w:r>
        <w:rPr>
          <w:highlight w:val="none"/>
        </w:rPr>
        <w:fldChar w:fldCharType="end"/>
      </w:r>
    </w:p>
    <w:p w14:paraId="6CF0E901">
      <w:pPr>
        <w:pStyle w:val="20"/>
        <w:tabs>
          <w:tab w:val="right" w:leader="dot" w:pos="8306"/>
          <w:tab w:val="clear" w:pos="8296"/>
        </w:tabs>
        <w:rPr>
          <w:highlight w:val="none"/>
        </w:rPr>
      </w:pPr>
      <w:r>
        <w:rPr>
          <w:highlight w:val="none"/>
        </w:rPr>
        <w:fldChar w:fldCharType="begin"/>
      </w:r>
      <w:r>
        <w:rPr>
          <w:highlight w:val="none"/>
        </w:rPr>
        <w:instrText xml:space="preserve"> HYPERLINK \l _Toc8824 </w:instrText>
      </w:r>
      <w:r>
        <w:rPr>
          <w:highlight w:val="none"/>
        </w:rPr>
        <w:fldChar w:fldCharType="separate"/>
      </w:r>
      <w:r>
        <w:rPr>
          <w:rFonts w:hint="eastAsia"/>
          <w:highlight w:val="none"/>
          <w:lang w:val="en-US" w:eastAsia="en-US"/>
        </w:rPr>
        <w:t>（一）评价结论</w:t>
      </w:r>
      <w:r>
        <w:rPr>
          <w:highlight w:val="none"/>
        </w:rPr>
        <w:tab/>
      </w:r>
      <w:r>
        <w:rPr>
          <w:highlight w:val="none"/>
        </w:rPr>
        <w:fldChar w:fldCharType="begin"/>
      </w:r>
      <w:r>
        <w:rPr>
          <w:highlight w:val="none"/>
        </w:rPr>
        <w:instrText xml:space="preserve"> PAGEREF _Toc8824 \h </w:instrText>
      </w:r>
      <w:r>
        <w:rPr>
          <w:highlight w:val="none"/>
        </w:rPr>
        <w:fldChar w:fldCharType="separate"/>
      </w:r>
      <w:r>
        <w:rPr>
          <w:highlight w:val="none"/>
        </w:rPr>
        <w:t>9</w:t>
      </w:r>
      <w:r>
        <w:rPr>
          <w:highlight w:val="none"/>
        </w:rPr>
        <w:fldChar w:fldCharType="end"/>
      </w:r>
      <w:r>
        <w:rPr>
          <w:highlight w:val="none"/>
        </w:rPr>
        <w:fldChar w:fldCharType="end"/>
      </w:r>
    </w:p>
    <w:p w14:paraId="050B1832">
      <w:pPr>
        <w:pStyle w:val="17"/>
        <w:tabs>
          <w:tab w:val="right" w:leader="dot" w:pos="8306"/>
          <w:tab w:val="clear" w:pos="8296"/>
        </w:tabs>
        <w:rPr>
          <w:highlight w:val="none"/>
        </w:rPr>
      </w:pPr>
      <w:r>
        <w:rPr>
          <w:highlight w:val="none"/>
        </w:rPr>
        <w:fldChar w:fldCharType="begin"/>
      </w:r>
      <w:r>
        <w:rPr>
          <w:highlight w:val="none"/>
        </w:rPr>
        <w:instrText xml:space="preserve"> HYPERLINK \l _Toc23820 </w:instrText>
      </w:r>
      <w:r>
        <w:rPr>
          <w:highlight w:val="none"/>
        </w:rPr>
        <w:fldChar w:fldCharType="separate"/>
      </w:r>
      <w:r>
        <w:rPr>
          <w:rFonts w:hint="eastAsia"/>
          <w:highlight w:val="none"/>
          <w:lang w:val="en-US" w:eastAsia="zh-CN"/>
        </w:rPr>
        <w:t>五、存在问题及改进措施</w:t>
      </w:r>
      <w:r>
        <w:rPr>
          <w:highlight w:val="none"/>
        </w:rPr>
        <w:tab/>
      </w:r>
      <w:r>
        <w:rPr>
          <w:highlight w:val="none"/>
        </w:rPr>
        <w:fldChar w:fldCharType="begin"/>
      </w:r>
      <w:r>
        <w:rPr>
          <w:highlight w:val="none"/>
        </w:rPr>
        <w:instrText xml:space="preserve"> PAGEREF _Toc23820 \h </w:instrText>
      </w:r>
      <w:r>
        <w:rPr>
          <w:highlight w:val="none"/>
        </w:rPr>
        <w:fldChar w:fldCharType="separate"/>
      </w:r>
      <w:r>
        <w:rPr>
          <w:highlight w:val="none"/>
        </w:rPr>
        <w:t>13</w:t>
      </w:r>
      <w:r>
        <w:rPr>
          <w:highlight w:val="none"/>
        </w:rPr>
        <w:fldChar w:fldCharType="end"/>
      </w:r>
      <w:r>
        <w:rPr>
          <w:highlight w:val="none"/>
        </w:rPr>
        <w:fldChar w:fldCharType="end"/>
      </w:r>
    </w:p>
    <w:p w14:paraId="749E2731">
      <w:pPr>
        <w:pStyle w:val="17"/>
        <w:tabs>
          <w:tab w:val="right" w:leader="dot" w:pos="8306"/>
          <w:tab w:val="clear" w:pos="8296"/>
        </w:tabs>
        <w:rPr>
          <w:highlight w:val="none"/>
        </w:rPr>
      </w:pPr>
      <w:r>
        <w:rPr>
          <w:highlight w:val="none"/>
        </w:rPr>
        <w:fldChar w:fldCharType="begin"/>
      </w:r>
      <w:r>
        <w:rPr>
          <w:highlight w:val="none"/>
        </w:rPr>
        <w:instrText xml:space="preserve"> HYPERLINK \l _Toc17332 </w:instrText>
      </w:r>
      <w:r>
        <w:rPr>
          <w:highlight w:val="none"/>
        </w:rPr>
        <w:fldChar w:fldCharType="separate"/>
      </w:r>
      <w:r>
        <w:rPr>
          <w:rFonts w:hint="eastAsia"/>
          <w:highlight w:val="none"/>
          <w:lang w:val="en-US" w:eastAsia="zh-CN"/>
        </w:rPr>
        <w:t>（一）主要问题及原因分析</w:t>
      </w:r>
      <w:r>
        <w:rPr>
          <w:highlight w:val="none"/>
        </w:rPr>
        <w:tab/>
      </w:r>
      <w:r>
        <w:rPr>
          <w:highlight w:val="none"/>
        </w:rPr>
        <w:fldChar w:fldCharType="begin"/>
      </w:r>
      <w:r>
        <w:rPr>
          <w:highlight w:val="none"/>
        </w:rPr>
        <w:instrText xml:space="preserve"> PAGEREF _Toc17332 \h </w:instrText>
      </w:r>
      <w:r>
        <w:rPr>
          <w:highlight w:val="none"/>
        </w:rPr>
        <w:fldChar w:fldCharType="separate"/>
      </w:r>
      <w:r>
        <w:rPr>
          <w:highlight w:val="none"/>
        </w:rPr>
        <w:t>13</w:t>
      </w:r>
      <w:r>
        <w:rPr>
          <w:highlight w:val="none"/>
        </w:rPr>
        <w:fldChar w:fldCharType="end"/>
      </w:r>
      <w:r>
        <w:rPr>
          <w:highlight w:val="none"/>
        </w:rPr>
        <w:fldChar w:fldCharType="end"/>
      </w:r>
    </w:p>
    <w:p w14:paraId="4B9DE012">
      <w:pPr>
        <w:pStyle w:val="20"/>
        <w:tabs>
          <w:tab w:val="right" w:leader="dot" w:pos="8306"/>
          <w:tab w:val="clear" w:pos="8296"/>
        </w:tabs>
        <w:rPr>
          <w:highlight w:val="none"/>
        </w:rPr>
      </w:pPr>
      <w:r>
        <w:rPr>
          <w:highlight w:val="none"/>
        </w:rPr>
        <w:fldChar w:fldCharType="begin"/>
      </w:r>
      <w:r>
        <w:rPr>
          <w:highlight w:val="none"/>
        </w:rPr>
        <w:instrText xml:space="preserve"> HYPERLINK \l _Toc20997 </w:instrText>
      </w:r>
      <w:r>
        <w:rPr>
          <w:highlight w:val="none"/>
        </w:rPr>
        <w:fldChar w:fldCharType="separate"/>
      </w:r>
      <w:r>
        <w:rPr>
          <w:rFonts w:hint="eastAsia"/>
          <w:highlight w:val="none"/>
          <w:lang w:val="en-US" w:eastAsia="zh-CN"/>
        </w:rPr>
        <w:t>（二）改进方向和具体措施</w:t>
      </w:r>
      <w:r>
        <w:rPr>
          <w:highlight w:val="none"/>
        </w:rPr>
        <w:tab/>
      </w:r>
      <w:r>
        <w:rPr>
          <w:highlight w:val="none"/>
        </w:rPr>
        <w:fldChar w:fldCharType="begin"/>
      </w:r>
      <w:r>
        <w:rPr>
          <w:highlight w:val="none"/>
        </w:rPr>
        <w:instrText xml:space="preserve"> PAGEREF _Toc20997 \h </w:instrText>
      </w:r>
      <w:r>
        <w:rPr>
          <w:highlight w:val="none"/>
        </w:rPr>
        <w:fldChar w:fldCharType="separate"/>
      </w:r>
      <w:r>
        <w:rPr>
          <w:highlight w:val="none"/>
        </w:rPr>
        <w:t>14</w:t>
      </w:r>
      <w:r>
        <w:rPr>
          <w:highlight w:val="none"/>
        </w:rPr>
        <w:fldChar w:fldCharType="end"/>
      </w:r>
      <w:r>
        <w:rPr>
          <w:highlight w:val="none"/>
        </w:rPr>
        <w:fldChar w:fldCharType="end"/>
      </w:r>
    </w:p>
    <w:p w14:paraId="458566D9">
      <w:pPr>
        <w:pStyle w:val="17"/>
        <w:tabs>
          <w:tab w:val="right" w:leader="dot" w:pos="8306"/>
          <w:tab w:val="clear" w:pos="8296"/>
        </w:tabs>
        <w:rPr>
          <w:highlight w:val="none"/>
        </w:rPr>
      </w:pPr>
      <w:r>
        <w:rPr>
          <w:highlight w:val="none"/>
        </w:rPr>
        <w:fldChar w:fldCharType="begin"/>
      </w:r>
      <w:r>
        <w:rPr>
          <w:highlight w:val="none"/>
        </w:rPr>
        <w:instrText xml:space="preserve"> HYPERLINK \l _Toc4073 </w:instrText>
      </w:r>
      <w:r>
        <w:rPr>
          <w:highlight w:val="none"/>
        </w:rPr>
        <w:fldChar w:fldCharType="separate"/>
      </w:r>
      <w:r>
        <w:rPr>
          <w:rFonts w:hint="eastAsia"/>
          <w:highlight w:val="none"/>
          <w:lang w:val="en-US" w:eastAsia="zh-CN"/>
        </w:rPr>
        <w:t>六、附件</w:t>
      </w:r>
      <w:r>
        <w:rPr>
          <w:highlight w:val="none"/>
        </w:rPr>
        <w:tab/>
      </w:r>
      <w:r>
        <w:rPr>
          <w:highlight w:val="none"/>
        </w:rPr>
        <w:fldChar w:fldCharType="begin"/>
      </w:r>
      <w:r>
        <w:rPr>
          <w:highlight w:val="none"/>
        </w:rPr>
        <w:instrText xml:space="preserve"> PAGEREF _Toc4073 \h </w:instrText>
      </w:r>
      <w:r>
        <w:rPr>
          <w:highlight w:val="none"/>
        </w:rPr>
        <w:fldChar w:fldCharType="separate"/>
      </w:r>
      <w:r>
        <w:rPr>
          <w:highlight w:val="none"/>
        </w:rPr>
        <w:t>15</w:t>
      </w:r>
      <w:r>
        <w:rPr>
          <w:highlight w:val="none"/>
        </w:rPr>
        <w:fldChar w:fldCharType="end"/>
      </w:r>
      <w:r>
        <w:rPr>
          <w:highlight w:val="none"/>
        </w:rPr>
        <w:fldChar w:fldCharType="end"/>
      </w:r>
    </w:p>
    <w:p w14:paraId="7301C448">
      <w:pPr>
        <w:pStyle w:val="3"/>
        <w:spacing w:line="520" w:lineRule="exact"/>
        <w:rPr>
          <w:sz w:val="22"/>
          <w:highlight w:val="none"/>
        </w:rPr>
        <w:sectPr>
          <w:pgSz w:w="11906" w:h="16838"/>
          <w:pgMar w:top="1440" w:right="1800" w:bottom="1440" w:left="1800" w:header="851" w:footer="992" w:gutter="0"/>
          <w:pgNumType w:fmt="upperRoman" w:start="1"/>
          <w:cols w:space="425" w:num="1"/>
          <w:docGrid w:type="lines" w:linePitch="312" w:charSpace="0"/>
        </w:sectPr>
      </w:pPr>
      <w:r>
        <w:rPr>
          <w:highlight w:val="none"/>
        </w:rPr>
        <w:fldChar w:fldCharType="end"/>
      </w:r>
    </w:p>
    <w:p w14:paraId="0B927BF1">
      <w:pPr>
        <w:jc w:val="center"/>
        <w:outlineLvl w:val="9"/>
        <w:rPr>
          <w:rFonts w:hint="eastAsia" w:ascii="Times New Roman" w:hAnsi="Times New Roman" w:eastAsia="小标宋" w:cs="Times New Roman"/>
          <w:b/>
          <w:sz w:val="44"/>
          <w:szCs w:val="44"/>
          <w:highlight w:val="none"/>
        </w:rPr>
      </w:pPr>
      <w:r>
        <w:rPr>
          <w:rFonts w:hint="eastAsia" w:ascii="Times New Roman" w:hAnsi="Times New Roman" w:eastAsia="小标宋" w:cs="Times New Roman"/>
          <w:b/>
          <w:sz w:val="44"/>
          <w:szCs w:val="44"/>
          <w:highlight w:val="none"/>
        </w:rPr>
        <w:t>2023年</w:t>
      </w:r>
      <w:r>
        <w:rPr>
          <w:rFonts w:hint="eastAsia" w:ascii="Times New Roman" w:hAnsi="Times New Roman" w:eastAsia="小标宋" w:cs="Times New Roman"/>
          <w:b/>
          <w:sz w:val="44"/>
          <w:szCs w:val="44"/>
          <w:highlight w:val="none"/>
          <w:lang w:eastAsia="zh-CN"/>
        </w:rPr>
        <w:t>遂宁市文学艺术界联合会</w:t>
      </w:r>
      <w:r>
        <w:rPr>
          <w:rFonts w:hint="eastAsia" w:ascii="Times New Roman" w:hAnsi="Times New Roman" w:eastAsia="小标宋" w:cs="Times New Roman"/>
          <w:b/>
          <w:sz w:val="44"/>
          <w:szCs w:val="44"/>
          <w:highlight w:val="none"/>
        </w:rPr>
        <w:t>部门整体</w:t>
      </w:r>
    </w:p>
    <w:p w14:paraId="58A5ECD4">
      <w:pPr>
        <w:jc w:val="center"/>
        <w:outlineLvl w:val="9"/>
        <w:rPr>
          <w:rFonts w:hint="eastAsia" w:ascii="Times New Roman" w:hAnsi="Times New Roman" w:eastAsia="小标宋" w:cs="Times New Roman"/>
          <w:b/>
          <w:sz w:val="44"/>
          <w:szCs w:val="44"/>
          <w:highlight w:val="none"/>
        </w:rPr>
      </w:pPr>
      <w:r>
        <w:rPr>
          <w:rFonts w:hint="eastAsia" w:ascii="Times New Roman" w:hAnsi="Times New Roman" w:eastAsia="小标宋" w:cs="Times New Roman"/>
          <w:b/>
          <w:sz w:val="44"/>
          <w:szCs w:val="44"/>
          <w:highlight w:val="none"/>
        </w:rPr>
        <w:t>支出绩效评价报告</w:t>
      </w:r>
    </w:p>
    <w:p w14:paraId="616DB79D">
      <w:pPr>
        <w:jc w:val="center"/>
        <w:outlineLvl w:val="9"/>
        <w:rPr>
          <w:rFonts w:hint="eastAsia" w:ascii="Times New Roman" w:hAnsi="Times New Roman" w:eastAsia="小标宋" w:cs="Times New Roman"/>
          <w:b/>
          <w:sz w:val="22"/>
          <w:szCs w:val="22"/>
          <w:highlight w:val="none"/>
        </w:rPr>
      </w:pPr>
    </w:p>
    <w:p w14:paraId="05197CE7">
      <w:pPr>
        <w:pStyle w:val="3"/>
        <w:rPr>
          <w:highlight w:val="none"/>
        </w:rPr>
      </w:pPr>
      <w:r>
        <w:rPr>
          <w:rFonts w:hint="eastAsia"/>
          <w:highlight w:val="none"/>
        </w:rPr>
        <w:t>按照《</w:t>
      </w:r>
      <w:r>
        <w:rPr>
          <w:rFonts w:hint="eastAsia"/>
          <w:highlight w:val="none"/>
          <w:lang w:eastAsia="zh-CN"/>
        </w:rPr>
        <w:t>遂宁市</w:t>
      </w:r>
      <w:r>
        <w:rPr>
          <w:rFonts w:hint="eastAsia"/>
          <w:highlight w:val="none"/>
        </w:rPr>
        <w:t>财政局关于开展2024年部门、政策和项目支</w:t>
      </w:r>
      <w:r>
        <w:rPr>
          <w:rFonts w:hint="eastAsia"/>
          <w:highlight w:val="none"/>
        </w:rPr>
        <w:t>出重点绩效评价工作的通知》（</w:t>
      </w:r>
      <w:r>
        <w:rPr>
          <w:rFonts w:hint="eastAsia"/>
          <w:highlight w:val="none"/>
          <w:lang w:val="en-US" w:eastAsia="zh-CN"/>
        </w:rPr>
        <w:t>遂财绩</w:t>
      </w:r>
      <w:r>
        <w:rPr>
          <w:rFonts w:hint="eastAsia"/>
          <w:highlight w:val="none"/>
        </w:rPr>
        <w:t>〔</w:t>
      </w:r>
      <w:r>
        <w:rPr>
          <w:highlight w:val="none"/>
        </w:rPr>
        <w:t>20</w:t>
      </w:r>
      <w:r>
        <w:rPr>
          <w:rFonts w:hint="eastAsia"/>
          <w:highlight w:val="none"/>
          <w:lang w:val="en-US" w:eastAsia="zh-CN"/>
        </w:rPr>
        <w:t>24</w:t>
      </w:r>
      <w:r>
        <w:rPr>
          <w:rFonts w:hint="eastAsia"/>
          <w:highlight w:val="none"/>
        </w:rPr>
        <w:t>〕</w:t>
      </w:r>
      <w:r>
        <w:rPr>
          <w:rFonts w:hint="eastAsia"/>
          <w:highlight w:val="none"/>
          <w:lang w:val="en-US" w:eastAsia="zh-CN"/>
        </w:rPr>
        <w:t>4</w:t>
      </w:r>
      <w:r>
        <w:rPr>
          <w:rFonts w:hint="eastAsia"/>
          <w:highlight w:val="none"/>
        </w:rPr>
        <w:t>号），我们接受</w:t>
      </w:r>
      <w:r>
        <w:rPr>
          <w:rFonts w:hint="eastAsia"/>
          <w:highlight w:val="none"/>
          <w:lang w:eastAsia="zh-CN"/>
        </w:rPr>
        <w:t>遂宁市财政局</w:t>
      </w:r>
      <w:r>
        <w:rPr>
          <w:rFonts w:hint="eastAsia"/>
          <w:highlight w:val="none"/>
        </w:rPr>
        <w:t>委托，于</w:t>
      </w:r>
      <w:r>
        <w:rPr>
          <w:highlight w:val="none"/>
        </w:rPr>
        <w:t>202</w:t>
      </w:r>
      <w:r>
        <w:rPr>
          <w:rFonts w:hint="eastAsia"/>
          <w:highlight w:val="none"/>
          <w:lang w:val="en-US" w:eastAsia="zh-CN"/>
        </w:rPr>
        <w:t>4</w:t>
      </w:r>
      <w:r>
        <w:rPr>
          <w:rFonts w:hint="eastAsia"/>
          <w:highlight w:val="none"/>
        </w:rPr>
        <w:t>年</w:t>
      </w:r>
      <w:r>
        <w:rPr>
          <w:rFonts w:hint="eastAsia"/>
          <w:highlight w:val="none"/>
          <w:lang w:val="en-US" w:eastAsia="zh-CN"/>
        </w:rPr>
        <w:t>5</w:t>
      </w:r>
      <w:r>
        <w:rPr>
          <w:rFonts w:hint="eastAsia"/>
          <w:highlight w:val="none"/>
        </w:rPr>
        <w:t>月</w:t>
      </w:r>
      <w:r>
        <w:rPr>
          <w:rFonts w:hint="eastAsia"/>
          <w:highlight w:val="none"/>
          <w:lang w:val="en-US" w:eastAsia="zh-CN"/>
        </w:rPr>
        <w:t>27</w:t>
      </w:r>
      <w:r>
        <w:rPr>
          <w:rFonts w:hint="eastAsia"/>
          <w:highlight w:val="none"/>
        </w:rPr>
        <w:t>日至</w:t>
      </w:r>
      <w:r>
        <w:rPr>
          <w:highlight w:val="none"/>
        </w:rPr>
        <w:t>20</w:t>
      </w:r>
      <w:r>
        <w:rPr>
          <w:rFonts w:hint="eastAsia"/>
          <w:highlight w:val="none"/>
        </w:rPr>
        <w:t>2</w:t>
      </w:r>
      <w:r>
        <w:rPr>
          <w:rFonts w:hint="eastAsia"/>
          <w:highlight w:val="none"/>
          <w:lang w:val="en-US" w:eastAsia="zh-CN"/>
        </w:rPr>
        <w:t>4</w:t>
      </w:r>
      <w:r>
        <w:rPr>
          <w:rFonts w:hint="eastAsia"/>
          <w:highlight w:val="none"/>
        </w:rPr>
        <w:t>年</w:t>
      </w:r>
      <w:r>
        <w:rPr>
          <w:rFonts w:hint="eastAsia"/>
          <w:highlight w:val="none"/>
          <w:lang w:val="en-US" w:eastAsia="zh-CN"/>
        </w:rPr>
        <w:t>7</w:t>
      </w:r>
      <w:r>
        <w:rPr>
          <w:rFonts w:hint="eastAsia"/>
          <w:highlight w:val="none"/>
        </w:rPr>
        <w:t>月</w:t>
      </w:r>
      <w:r>
        <w:rPr>
          <w:rFonts w:hint="eastAsia"/>
          <w:highlight w:val="none"/>
          <w:lang w:val="en-US" w:eastAsia="zh-CN"/>
        </w:rPr>
        <w:t>27</w:t>
      </w:r>
      <w:r>
        <w:rPr>
          <w:rFonts w:hint="eastAsia"/>
          <w:highlight w:val="none"/>
        </w:rPr>
        <w:t>日对</w:t>
      </w:r>
      <w:r>
        <w:rPr>
          <w:rFonts w:hint="eastAsia"/>
          <w:highlight w:val="none"/>
          <w:lang w:eastAsia="zh-CN"/>
        </w:rPr>
        <w:t>遂宁市文学艺术界联合</w:t>
      </w:r>
      <w:r>
        <w:rPr>
          <w:rFonts w:hint="eastAsia"/>
          <w:highlight w:val="none"/>
          <w:lang w:eastAsia="zh-CN"/>
        </w:rPr>
        <w:t>会（</w:t>
      </w:r>
      <w:r>
        <w:rPr>
          <w:rFonts w:hint="eastAsia"/>
          <w:highlight w:val="none"/>
          <w:lang w:val="en-US" w:eastAsia="zh-CN"/>
        </w:rPr>
        <w:t>以下简称“市文联”）</w:t>
      </w:r>
      <w:r>
        <w:rPr>
          <w:highlight w:val="none"/>
        </w:rPr>
        <w:t>开展部门整体支出绩效评价</w:t>
      </w:r>
      <w:r>
        <w:rPr>
          <w:rFonts w:hint="eastAsia"/>
          <w:highlight w:val="none"/>
        </w:rPr>
        <w:t>，实地核查</w:t>
      </w:r>
      <w:r>
        <w:rPr>
          <w:highlight w:val="none"/>
        </w:rPr>
        <w:t>相关资料及项目情况，进行了</w:t>
      </w:r>
      <w:r>
        <w:rPr>
          <w:rFonts w:hint="eastAsia"/>
          <w:highlight w:val="none"/>
          <w:lang w:val="en-US" w:eastAsia="zh-CN"/>
        </w:rPr>
        <w:t>6</w:t>
      </w:r>
      <w:r>
        <w:rPr>
          <w:highlight w:val="none"/>
        </w:rPr>
        <w:t>人次访谈。</w:t>
      </w:r>
      <w:r>
        <w:rPr>
          <w:rFonts w:hint="eastAsia"/>
          <w:highlight w:val="none"/>
        </w:rPr>
        <w:t>具体情况如下</w:t>
      </w:r>
      <w:r>
        <w:rPr>
          <w:highlight w:val="none"/>
        </w:rPr>
        <w:t>。</w:t>
      </w:r>
    </w:p>
    <w:p w14:paraId="3A910502">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highlight w:val="none"/>
          <w:lang w:val="en-US" w:eastAsia="zh-CN"/>
        </w:rPr>
      </w:pPr>
      <w:bookmarkStart w:id="6" w:name="_Toc7317"/>
      <w:r>
        <w:rPr>
          <w:rFonts w:hint="eastAsia"/>
          <w:highlight w:val="none"/>
          <w:lang w:val="en-US" w:eastAsia="zh-CN"/>
        </w:rPr>
        <w:t>一、部门（单位）概况</w:t>
      </w:r>
      <w:bookmarkEnd w:id="6"/>
    </w:p>
    <w:p w14:paraId="3A78BACD">
      <w:pPr>
        <w:pStyle w:val="4"/>
        <w:ind w:left="-13" w:leftChars="0" w:firstLine="643" w:firstLineChars="0"/>
        <w:rPr>
          <w:highlight w:val="none"/>
        </w:rPr>
      </w:pPr>
      <w:bookmarkStart w:id="7" w:name="_Toc11717"/>
      <w:r>
        <w:rPr>
          <w:rFonts w:hint="eastAsia"/>
          <w:highlight w:val="none"/>
          <w:lang w:val="en-US" w:eastAsia="zh-CN"/>
        </w:rPr>
        <w:t>部门（单位）</w:t>
      </w:r>
      <w:r>
        <w:rPr>
          <w:rFonts w:hint="eastAsia"/>
          <w:highlight w:val="none"/>
        </w:rPr>
        <w:t>职能</w:t>
      </w:r>
      <w:r>
        <w:rPr>
          <w:rFonts w:hint="eastAsia"/>
          <w:highlight w:val="none"/>
          <w:lang w:val="en-US" w:eastAsia="zh-CN"/>
        </w:rPr>
        <w:t>职责</w:t>
      </w:r>
      <w:bookmarkEnd w:id="7"/>
    </w:p>
    <w:p w14:paraId="226A958C">
      <w:pPr>
        <w:pStyle w:val="3"/>
        <w:pageBreakBefore w:val="0"/>
        <w:widowControl w:val="0"/>
        <w:kinsoku/>
        <w:wordWrap/>
        <w:overflowPunct/>
        <w:topLinePunct w:val="0"/>
        <w:autoSpaceDE/>
        <w:autoSpaceDN/>
        <w:bidi w:val="0"/>
        <w:snapToGrid/>
        <w:textAlignment w:val="auto"/>
        <w:rPr>
          <w:rFonts w:hint="eastAsia"/>
          <w:highlight w:val="none"/>
          <w:lang w:val="en-US" w:eastAsia="zh-CN"/>
        </w:rPr>
      </w:pPr>
      <w:r>
        <w:rPr>
          <w:rFonts w:hint="eastAsia"/>
          <w:highlight w:val="none"/>
          <w:lang w:val="en-US" w:eastAsia="zh-CN"/>
        </w:rPr>
        <w:t>1.贯彻执行党的文艺方针、政策，开展对市级各文艺团体和区县文联的指导联络、协调，服务工作。听取和反映文艺界的情况和意见。</w:t>
      </w:r>
    </w:p>
    <w:p w14:paraId="17648418">
      <w:pPr>
        <w:pStyle w:val="3"/>
        <w:pageBreakBefore w:val="0"/>
        <w:widowControl w:val="0"/>
        <w:kinsoku/>
        <w:wordWrap/>
        <w:overflowPunct/>
        <w:topLinePunct w:val="0"/>
        <w:autoSpaceDE/>
        <w:autoSpaceDN/>
        <w:bidi w:val="0"/>
        <w:snapToGrid/>
        <w:textAlignment w:val="auto"/>
        <w:rPr>
          <w:rFonts w:hint="eastAsia"/>
          <w:highlight w:val="none"/>
          <w:lang w:val="en-US" w:eastAsia="zh-CN"/>
        </w:rPr>
      </w:pPr>
      <w:r>
        <w:rPr>
          <w:rFonts w:hint="eastAsia"/>
          <w:highlight w:val="none"/>
          <w:lang w:val="en-US" w:eastAsia="zh-CN"/>
        </w:rPr>
        <w:t>2.组织召开市文联代表大会、委员会、常务委员会和主席团会议，以及全市性文艺家协会（学会、研究会）代表大会；组织召开全市文联系统的工作和学术研讨等会议。</w:t>
      </w:r>
    </w:p>
    <w:p w14:paraId="6EFCC93B">
      <w:pPr>
        <w:pStyle w:val="3"/>
        <w:pageBreakBefore w:val="0"/>
        <w:widowControl w:val="0"/>
        <w:kinsoku/>
        <w:wordWrap/>
        <w:overflowPunct/>
        <w:topLinePunct w:val="0"/>
        <w:autoSpaceDE/>
        <w:autoSpaceDN/>
        <w:bidi w:val="0"/>
        <w:snapToGrid/>
        <w:textAlignment w:val="auto"/>
        <w:rPr>
          <w:rFonts w:hint="eastAsia"/>
          <w:highlight w:val="none"/>
          <w:lang w:val="en-US" w:eastAsia="zh-CN"/>
        </w:rPr>
      </w:pPr>
      <w:r>
        <w:rPr>
          <w:rFonts w:hint="eastAsia"/>
          <w:highlight w:val="none"/>
          <w:lang w:val="en-US" w:eastAsia="zh-CN"/>
        </w:rPr>
        <w:t>3.制定并实施重大文艺活动创作规划，组织广大文艺工作者深入生活，加强艺术实践；培养优秀人才，创作文艺精品。</w:t>
      </w:r>
    </w:p>
    <w:p w14:paraId="4487311A">
      <w:pPr>
        <w:pStyle w:val="3"/>
        <w:pageBreakBefore w:val="0"/>
        <w:widowControl w:val="0"/>
        <w:kinsoku/>
        <w:wordWrap/>
        <w:overflowPunct/>
        <w:topLinePunct w:val="0"/>
        <w:autoSpaceDE/>
        <w:autoSpaceDN/>
        <w:bidi w:val="0"/>
        <w:snapToGrid/>
        <w:textAlignment w:val="auto"/>
        <w:rPr>
          <w:rFonts w:hint="eastAsia"/>
          <w:highlight w:val="none"/>
          <w:lang w:val="en-US" w:eastAsia="zh-CN"/>
        </w:rPr>
      </w:pPr>
      <w:r>
        <w:rPr>
          <w:rFonts w:hint="eastAsia"/>
          <w:highlight w:val="none"/>
          <w:lang w:val="en-US" w:eastAsia="zh-CN"/>
        </w:rPr>
        <w:t>4.抓好文艺评论和理论研讨工作，办好机关刊物《川中文学》。组织实施文艺评奖活动，对优秀文艺成果给予奖励和表彰。</w:t>
      </w:r>
    </w:p>
    <w:p w14:paraId="3B52464A">
      <w:pPr>
        <w:pStyle w:val="3"/>
        <w:pageBreakBefore w:val="0"/>
        <w:widowControl w:val="0"/>
        <w:kinsoku/>
        <w:wordWrap/>
        <w:overflowPunct/>
        <w:topLinePunct w:val="0"/>
        <w:autoSpaceDE/>
        <w:autoSpaceDN/>
        <w:bidi w:val="0"/>
        <w:snapToGrid/>
        <w:textAlignment w:val="auto"/>
        <w:rPr>
          <w:rFonts w:hint="eastAsia"/>
          <w:highlight w:val="none"/>
          <w:lang w:val="en-US" w:eastAsia="zh-CN"/>
        </w:rPr>
      </w:pPr>
      <w:r>
        <w:rPr>
          <w:rFonts w:hint="eastAsia"/>
          <w:highlight w:val="none"/>
          <w:lang w:val="en-US" w:eastAsia="zh-CN"/>
        </w:rPr>
        <w:t>5.开展维护文艺家和文艺团体知识产权等正当权益工作。</w:t>
      </w:r>
    </w:p>
    <w:p w14:paraId="50494760">
      <w:pPr>
        <w:pStyle w:val="3"/>
        <w:pageBreakBefore w:val="0"/>
        <w:widowControl w:val="0"/>
        <w:kinsoku/>
        <w:wordWrap/>
        <w:overflowPunct/>
        <w:topLinePunct w:val="0"/>
        <w:autoSpaceDE/>
        <w:autoSpaceDN/>
        <w:bidi w:val="0"/>
        <w:snapToGrid/>
        <w:textAlignment w:val="auto"/>
        <w:rPr>
          <w:rFonts w:hint="eastAsia"/>
          <w:highlight w:val="none"/>
          <w:lang w:val="en-US" w:eastAsia="zh-CN"/>
        </w:rPr>
      </w:pPr>
      <w:r>
        <w:rPr>
          <w:rFonts w:hint="eastAsia"/>
          <w:highlight w:val="none"/>
          <w:lang w:val="en-US" w:eastAsia="zh-CN"/>
        </w:rPr>
        <w:t>6.负责对团体会员的服务工作，帮助各团体会员改善文艺家创作条件。</w:t>
      </w:r>
    </w:p>
    <w:p w14:paraId="6A5E277A">
      <w:pPr>
        <w:pStyle w:val="3"/>
        <w:pageBreakBefore w:val="0"/>
        <w:widowControl w:val="0"/>
        <w:kinsoku/>
        <w:wordWrap/>
        <w:overflowPunct/>
        <w:topLinePunct w:val="0"/>
        <w:autoSpaceDE/>
        <w:autoSpaceDN/>
        <w:bidi w:val="0"/>
        <w:snapToGrid/>
        <w:textAlignment w:val="auto"/>
        <w:rPr>
          <w:rFonts w:hint="default"/>
          <w:highlight w:val="none"/>
          <w:lang w:val="en-US" w:eastAsia="zh-CN"/>
        </w:rPr>
      </w:pPr>
      <w:r>
        <w:rPr>
          <w:rFonts w:hint="eastAsia"/>
          <w:highlight w:val="none"/>
          <w:lang w:val="en-US" w:eastAsia="zh-CN"/>
        </w:rPr>
        <w:t>7.承担市委、市政府交办的有关事项。</w:t>
      </w:r>
    </w:p>
    <w:p w14:paraId="68E0EF35">
      <w:pPr>
        <w:pStyle w:val="4"/>
        <w:ind w:left="-13" w:leftChars="0" w:firstLine="643" w:firstLineChars="0"/>
        <w:rPr>
          <w:highlight w:val="none"/>
        </w:rPr>
      </w:pPr>
      <w:bookmarkStart w:id="8" w:name="_Toc24935"/>
      <w:r>
        <w:rPr>
          <w:rFonts w:hint="eastAsia"/>
          <w:highlight w:val="none"/>
          <w:lang w:val="en-US" w:eastAsia="zh-CN"/>
        </w:rPr>
        <w:t>部门组织架构</w:t>
      </w:r>
      <w:bookmarkEnd w:id="8"/>
    </w:p>
    <w:p w14:paraId="009127BD">
      <w:pPr>
        <w:pStyle w:val="5"/>
        <w:ind w:firstLine="640"/>
        <w:rPr>
          <w:rFonts w:hint="eastAsia"/>
          <w:highlight w:val="none"/>
          <w:lang w:val="en-US" w:eastAsia="zh-CN"/>
        </w:rPr>
      </w:pPr>
      <w:r>
        <w:rPr>
          <w:rFonts w:hint="eastAsia"/>
          <w:highlight w:val="none"/>
          <w:lang w:val="en-US" w:eastAsia="zh-CN"/>
        </w:rPr>
        <w:t>机构设置</w:t>
      </w:r>
    </w:p>
    <w:p w14:paraId="32A1E57D">
      <w:pPr>
        <w:pStyle w:val="3"/>
        <w:pageBreakBefore w:val="0"/>
        <w:widowControl w:val="0"/>
        <w:kinsoku/>
        <w:wordWrap/>
        <w:overflowPunct/>
        <w:topLinePunct w:val="0"/>
        <w:autoSpaceDE/>
        <w:autoSpaceDN/>
        <w:bidi w:val="0"/>
        <w:snapToGrid/>
        <w:textAlignment w:val="auto"/>
        <w:rPr>
          <w:rFonts w:hint="default"/>
          <w:highlight w:val="none"/>
          <w:lang w:val="en-US" w:eastAsia="zh-CN"/>
        </w:rPr>
      </w:pPr>
      <w:r>
        <w:rPr>
          <w:rFonts w:hint="eastAsia"/>
          <w:highlight w:val="none"/>
          <w:lang w:val="en-US" w:eastAsia="zh-CN"/>
        </w:rPr>
        <w:t>遂宁市文学艺术界联合会无下属二级单位，内设2个科室，包括办公室和组织联络部。遂宁市文学艺术界联合会主管遂宁市作家协会、遂宁市书法家协会、遂宁市美术家协会、遂宁市音乐家协会等17个市级各艺术门类文艺家协会（学会、研究会）。</w:t>
      </w:r>
    </w:p>
    <w:p w14:paraId="3BFAEFD9">
      <w:pPr>
        <w:pStyle w:val="5"/>
        <w:pageBreakBefore w:val="0"/>
        <w:widowControl w:val="0"/>
        <w:kinsoku/>
        <w:wordWrap/>
        <w:overflowPunct/>
        <w:topLinePunct w:val="0"/>
        <w:autoSpaceDE/>
        <w:autoSpaceDN/>
        <w:bidi w:val="0"/>
        <w:snapToGrid/>
        <w:spacing w:before="0" w:after="0"/>
        <w:ind w:firstLine="640"/>
        <w:textAlignment w:val="auto"/>
        <w:rPr>
          <w:rFonts w:hint="default"/>
          <w:highlight w:val="none"/>
          <w:lang w:val="en-US" w:eastAsia="zh-CN"/>
        </w:rPr>
      </w:pPr>
      <w:r>
        <w:rPr>
          <w:rFonts w:hint="eastAsia"/>
          <w:highlight w:val="none"/>
          <w:lang w:val="en-US" w:eastAsia="zh-CN"/>
        </w:rPr>
        <w:t>人员构成</w:t>
      </w:r>
    </w:p>
    <w:p w14:paraId="68FC42A3">
      <w:pPr>
        <w:pStyle w:val="3"/>
        <w:rPr>
          <w:rFonts w:hint="default"/>
          <w:highlight w:val="none"/>
          <w:lang w:val="en-US" w:eastAsia="zh-CN"/>
        </w:rPr>
      </w:pPr>
      <w:r>
        <w:rPr>
          <w:rFonts w:hint="eastAsia"/>
          <w:highlight w:val="none"/>
          <w:lang w:val="en-US" w:eastAsia="zh-CN"/>
        </w:rPr>
        <w:t>截至2023年12</w:t>
      </w:r>
      <w:r>
        <w:rPr>
          <w:rFonts w:hint="eastAsia"/>
          <w:highlight w:val="none"/>
          <w:lang w:val="en-US" w:eastAsia="zh-CN"/>
        </w:rPr>
        <w:t>月31日，部门实有在编在职人员7人。</w:t>
      </w:r>
    </w:p>
    <w:p w14:paraId="2CFD0C45">
      <w:pPr>
        <w:pStyle w:val="4"/>
        <w:ind w:left="-13" w:leftChars="0" w:firstLine="643" w:firstLineChars="0"/>
        <w:rPr>
          <w:rFonts w:hint="eastAsia"/>
          <w:highlight w:val="none"/>
          <w:lang w:val="en-US" w:eastAsia="zh-CN"/>
        </w:rPr>
      </w:pPr>
      <w:bookmarkStart w:id="9" w:name="_Toc8730"/>
      <w:r>
        <w:rPr>
          <w:rFonts w:hint="eastAsia"/>
          <w:highlight w:val="none"/>
          <w:lang w:val="en-US" w:eastAsia="zh-CN"/>
        </w:rPr>
        <w:t>当年部门（单位）重点工作任务概述</w:t>
      </w:r>
      <w:bookmarkEnd w:id="9"/>
    </w:p>
    <w:p w14:paraId="7C3C9BD8">
      <w:pPr>
        <w:pStyle w:val="5"/>
        <w:pageBreakBefore w:val="0"/>
        <w:widowControl w:val="0"/>
        <w:numPr>
          <w:ilvl w:val="2"/>
          <w:numId w:val="0"/>
        </w:numPr>
        <w:kinsoku/>
        <w:wordWrap/>
        <w:overflowPunct/>
        <w:topLinePunct w:val="0"/>
        <w:autoSpaceDE/>
        <w:autoSpaceDN/>
        <w:bidi w:val="0"/>
        <w:snapToGrid/>
        <w:spacing w:before="0" w:after="0"/>
        <w:ind w:firstLine="640" w:firstLineChars="200"/>
        <w:textAlignment w:val="auto"/>
        <w:rPr>
          <w:rFonts w:hint="eastAsia"/>
          <w:highlight w:val="none"/>
          <w:lang w:val="en-US" w:eastAsia="zh-CN"/>
        </w:rPr>
      </w:pPr>
      <w:r>
        <w:rPr>
          <w:rFonts w:hint="eastAsia"/>
          <w:highlight w:val="none"/>
          <w:lang w:val="en-US" w:eastAsia="zh-CN"/>
        </w:rPr>
        <w:t>1.深入学习宣传贯彻党的二十大精神</w:t>
      </w:r>
    </w:p>
    <w:p w14:paraId="63A5B917">
      <w:pPr>
        <w:pStyle w:val="3"/>
        <w:rPr>
          <w:rFonts w:hint="eastAsia"/>
          <w:highlight w:val="none"/>
          <w:lang w:val="en-US" w:eastAsia="zh-CN"/>
        </w:rPr>
      </w:pPr>
      <w:r>
        <w:rPr>
          <w:rFonts w:hint="eastAsia"/>
          <w:highlight w:val="none"/>
          <w:lang w:val="en-US" w:eastAsia="zh-CN"/>
        </w:rPr>
        <w:t>进一步深入学习宣传贯彻党的二十大精神，通过曲艺、音乐等多种艺术形式，加强宣传宣讲力度，号召全市广大文艺工作者积极投身到遂宁文艺高质量发展的浪潮中，为遂宁筑“三城”兴“三都”，加速升腾“成渝之星”贡献文艺力量。</w:t>
      </w:r>
    </w:p>
    <w:p w14:paraId="466112CE">
      <w:pPr>
        <w:pStyle w:val="5"/>
        <w:pageBreakBefore w:val="0"/>
        <w:widowControl w:val="0"/>
        <w:numPr>
          <w:ilvl w:val="2"/>
          <w:numId w:val="0"/>
        </w:numPr>
        <w:kinsoku/>
        <w:wordWrap/>
        <w:overflowPunct/>
        <w:topLinePunct w:val="0"/>
        <w:autoSpaceDE/>
        <w:autoSpaceDN/>
        <w:bidi w:val="0"/>
        <w:snapToGrid/>
        <w:spacing w:before="0" w:after="0"/>
        <w:ind w:firstLine="640" w:firstLineChars="200"/>
        <w:textAlignment w:val="auto"/>
        <w:rPr>
          <w:rFonts w:hint="eastAsia"/>
          <w:highlight w:val="none"/>
          <w:lang w:val="en-US" w:eastAsia="zh-CN"/>
        </w:rPr>
      </w:pPr>
      <w:r>
        <w:rPr>
          <w:rFonts w:hint="eastAsia"/>
          <w:highlight w:val="none"/>
          <w:lang w:val="en-US" w:eastAsia="zh-CN"/>
        </w:rPr>
        <w:t>2.实施文艺精品创作工程</w:t>
      </w:r>
    </w:p>
    <w:p w14:paraId="4BFD77FA">
      <w:pPr>
        <w:pStyle w:val="3"/>
        <w:rPr>
          <w:rFonts w:hint="eastAsia"/>
          <w:highlight w:val="none"/>
          <w:lang w:val="en-US" w:eastAsia="zh-CN"/>
        </w:rPr>
      </w:pPr>
      <w:r>
        <w:rPr>
          <w:rFonts w:hint="eastAsia"/>
          <w:highlight w:val="none"/>
          <w:lang w:val="en-US" w:eastAsia="zh-CN"/>
        </w:rPr>
        <w:t>重点围绕《遂宁市重点文艺项目和文艺精品扶持奖励办法》《遂宁市重点文艺项目创作规划（2022年—2023年）》组织文艺创作。开展文艺精品创作大调研，重点文艺创作项目大摸排，冲刺中省文艺奖项大扶持，在市各级文艺家协会和县（市、区）文联形成文艺创作良好氛围，积极备战省“五个一”工程奖，文华奖、巴蜀文艺奖等中省文艺奖项。</w:t>
      </w:r>
    </w:p>
    <w:p w14:paraId="05AAC0B4">
      <w:pPr>
        <w:pStyle w:val="5"/>
        <w:pageBreakBefore w:val="0"/>
        <w:widowControl w:val="0"/>
        <w:numPr>
          <w:ilvl w:val="2"/>
          <w:numId w:val="0"/>
        </w:numPr>
        <w:kinsoku/>
        <w:wordWrap/>
        <w:overflowPunct/>
        <w:topLinePunct w:val="0"/>
        <w:autoSpaceDE/>
        <w:autoSpaceDN/>
        <w:bidi w:val="0"/>
        <w:snapToGrid/>
        <w:spacing w:before="0" w:after="0"/>
        <w:ind w:firstLine="640" w:firstLineChars="200"/>
        <w:textAlignment w:val="auto"/>
        <w:rPr>
          <w:rFonts w:hint="eastAsia"/>
          <w:highlight w:val="none"/>
          <w:lang w:val="en-US" w:eastAsia="zh-CN"/>
        </w:rPr>
      </w:pPr>
      <w:r>
        <w:rPr>
          <w:rFonts w:hint="eastAsia"/>
          <w:highlight w:val="none"/>
          <w:lang w:val="en-US" w:eastAsia="zh-CN"/>
        </w:rPr>
        <w:t>3.实施文艺人才队伍建设工程</w:t>
      </w:r>
    </w:p>
    <w:p w14:paraId="67081431">
      <w:pPr>
        <w:pStyle w:val="3"/>
        <w:rPr>
          <w:rFonts w:hint="eastAsia"/>
          <w:highlight w:val="none"/>
          <w:lang w:val="en-US" w:eastAsia="zh-CN"/>
        </w:rPr>
      </w:pPr>
      <w:r>
        <w:rPr>
          <w:rFonts w:hint="eastAsia"/>
          <w:highlight w:val="none"/>
          <w:lang w:val="en-US" w:eastAsia="zh-CN"/>
        </w:rPr>
        <w:t>完善文联系统文艺人才和管理干部培训规划，开展“遂宁文艺大讲堂”活动，邀请省内外文艺名家走进遂宁开展文艺培训，支持将名师“请进来”开拓视野；实施“遂宁文艺传习导师”计划，支持领军人才“传帮带”提升水平；开展“遂宁青年文艺人才名校培训”活动，支持文艺骨干“走出去”。积极争取政府资金扶持，组织我市有影响力的艺术家开展重大题材创作、重要作品研讨，在市内外举办名家个人展览或专场演出。</w:t>
      </w:r>
    </w:p>
    <w:p w14:paraId="721DAB58">
      <w:pPr>
        <w:pStyle w:val="5"/>
        <w:pageBreakBefore w:val="0"/>
        <w:widowControl w:val="0"/>
        <w:numPr>
          <w:ilvl w:val="2"/>
          <w:numId w:val="0"/>
        </w:numPr>
        <w:kinsoku/>
        <w:wordWrap/>
        <w:overflowPunct/>
        <w:topLinePunct w:val="0"/>
        <w:autoSpaceDE/>
        <w:autoSpaceDN/>
        <w:bidi w:val="0"/>
        <w:snapToGrid/>
        <w:spacing w:before="0" w:after="0"/>
        <w:ind w:firstLine="640" w:firstLineChars="200"/>
        <w:textAlignment w:val="auto"/>
        <w:rPr>
          <w:rFonts w:hint="eastAsia"/>
          <w:highlight w:val="none"/>
          <w:lang w:val="en-US" w:eastAsia="zh-CN"/>
        </w:rPr>
      </w:pPr>
      <w:r>
        <w:rPr>
          <w:rFonts w:hint="eastAsia"/>
          <w:highlight w:val="none"/>
          <w:lang w:val="en-US" w:eastAsia="zh-CN"/>
        </w:rPr>
        <w:t>4.持续抓好协会规范管理</w:t>
      </w:r>
    </w:p>
    <w:p w14:paraId="383564B9">
      <w:pPr>
        <w:pStyle w:val="3"/>
        <w:rPr>
          <w:rFonts w:hint="eastAsia"/>
          <w:highlight w:val="none"/>
          <w:lang w:val="en-US" w:eastAsia="zh-CN"/>
        </w:rPr>
      </w:pPr>
      <w:r>
        <w:rPr>
          <w:rFonts w:hint="eastAsia"/>
          <w:highlight w:val="none"/>
          <w:lang w:val="en-US" w:eastAsia="zh-CN"/>
        </w:rPr>
        <w:t>加强文联对各协会年度各项工作的综合评判。重点继续抓好协会换届工作，狠抓文艺家协会班子建设，坚持“德才兼备”原则，选举出有代表性、有凝聚力、有号召力和有奉献精神的领导班子。坚持财务制度，加强协会财务管理，按时对协会对公账户进行年检，使用规范的票据进行财务活动。</w:t>
      </w:r>
    </w:p>
    <w:p w14:paraId="63858DBD">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highlight w:val="none"/>
          <w:lang w:val="en-US" w:eastAsia="zh-CN"/>
        </w:rPr>
      </w:pPr>
      <w:bookmarkStart w:id="10" w:name="_Toc22953"/>
      <w:r>
        <w:rPr>
          <w:rFonts w:hint="eastAsia"/>
          <w:highlight w:val="none"/>
          <w:lang w:val="en-US" w:eastAsia="zh-CN"/>
        </w:rPr>
        <w:t>二、财政资金收支情况</w:t>
      </w:r>
      <w:bookmarkEnd w:id="10"/>
    </w:p>
    <w:p w14:paraId="5196B635">
      <w:pPr>
        <w:pStyle w:val="4"/>
        <w:keepNext/>
        <w:keepLines/>
        <w:pageBreakBefore w:val="0"/>
        <w:widowControl w:val="0"/>
        <w:numPr>
          <w:ilvl w:val="1"/>
          <w:numId w:val="0"/>
        </w:numPr>
        <w:kinsoku/>
        <w:wordWrap/>
        <w:overflowPunct/>
        <w:topLinePunct w:val="0"/>
        <w:autoSpaceDE/>
        <w:autoSpaceDN/>
        <w:bidi w:val="0"/>
        <w:adjustRightInd w:val="0"/>
        <w:snapToGrid/>
        <w:ind w:leftChars="200"/>
        <w:textAlignment w:val="auto"/>
        <w:rPr>
          <w:rFonts w:hint="default"/>
          <w:highlight w:val="none"/>
          <w:lang w:val="en-US" w:eastAsia="zh-CN"/>
        </w:rPr>
      </w:pPr>
      <w:bookmarkStart w:id="11" w:name="_Toc24758"/>
      <w:r>
        <w:rPr>
          <w:rFonts w:hint="eastAsia"/>
          <w:highlight w:val="none"/>
          <w:lang w:val="en-US" w:eastAsia="zh-CN"/>
        </w:rPr>
        <w:t>（一）收入</w:t>
      </w:r>
      <w:r>
        <w:rPr>
          <w:rFonts w:hint="default"/>
          <w:highlight w:val="none"/>
          <w:lang w:val="en-US" w:eastAsia="zh-CN"/>
        </w:rPr>
        <w:t>情况</w:t>
      </w:r>
      <w:bookmarkEnd w:id="11"/>
    </w:p>
    <w:p w14:paraId="1E2A360A">
      <w:pPr>
        <w:pStyle w:val="3"/>
        <w:rPr>
          <w:rFonts w:hint="default"/>
          <w:highlight w:val="none"/>
          <w:lang w:val="en-US" w:eastAsia="zh-CN"/>
        </w:rPr>
      </w:pPr>
      <w:r>
        <w:rPr>
          <w:rFonts w:hint="eastAsia"/>
          <w:highlight w:val="none"/>
          <w:lang w:val="en-US" w:eastAsia="zh-CN"/>
        </w:rPr>
        <w:t>2023年市文联</w:t>
      </w:r>
      <w:r>
        <w:rPr>
          <w:rFonts w:hint="eastAsia"/>
          <w:highlight w:val="none"/>
          <w:lang w:val="en-US" w:eastAsia="zh-CN"/>
        </w:rPr>
        <w:t>年初</w:t>
      </w:r>
      <w:r>
        <w:rPr>
          <w:rFonts w:hint="default"/>
          <w:highlight w:val="none"/>
          <w:lang w:val="en-US" w:eastAsia="zh-CN"/>
        </w:rPr>
        <w:t>预算</w:t>
      </w:r>
      <w:r>
        <w:rPr>
          <w:rFonts w:hint="eastAsia"/>
          <w:highlight w:val="none"/>
          <w:lang w:val="en-US" w:eastAsia="zh-CN"/>
        </w:rPr>
        <w:t>收入337.21万元，预算</w:t>
      </w:r>
      <w:r>
        <w:rPr>
          <w:rFonts w:hint="default"/>
          <w:highlight w:val="none"/>
          <w:lang w:val="en-US" w:eastAsia="zh-CN"/>
        </w:rPr>
        <w:t>总体情况如表所示。</w:t>
      </w:r>
    </w:p>
    <w:p w14:paraId="578A7125">
      <w:pPr>
        <w:pStyle w:val="3"/>
        <w:jc w:val="center"/>
        <w:rPr>
          <w:rFonts w:hint="default"/>
          <w:b/>
          <w:bCs/>
          <w:sz w:val="28"/>
          <w:szCs w:val="24"/>
          <w:highlight w:val="none"/>
          <w:lang w:val="en-US" w:eastAsia="zh-CN"/>
        </w:rPr>
      </w:pPr>
      <w:r>
        <w:rPr>
          <w:rFonts w:hint="default"/>
          <w:b/>
          <w:bCs/>
          <w:sz w:val="28"/>
          <w:szCs w:val="24"/>
          <w:highlight w:val="none"/>
          <w:lang w:val="en-US" w:eastAsia="zh-CN"/>
        </w:rPr>
        <w:t>表</w:t>
      </w:r>
      <w:r>
        <w:rPr>
          <w:rFonts w:hint="eastAsia"/>
          <w:b/>
          <w:bCs/>
          <w:sz w:val="28"/>
          <w:szCs w:val="24"/>
          <w:highlight w:val="none"/>
          <w:lang w:val="en-US" w:eastAsia="zh-CN"/>
        </w:rPr>
        <w:t>2</w:t>
      </w:r>
      <w:r>
        <w:rPr>
          <w:rFonts w:hint="default"/>
          <w:b/>
          <w:bCs/>
          <w:sz w:val="28"/>
          <w:szCs w:val="24"/>
          <w:highlight w:val="none"/>
          <w:lang w:val="en-US" w:eastAsia="zh-CN"/>
        </w:rPr>
        <w:t>-1预算总体情况</w:t>
      </w:r>
      <w:r>
        <w:rPr>
          <w:rFonts w:hint="eastAsia"/>
          <w:b/>
          <w:bCs/>
          <w:sz w:val="28"/>
          <w:szCs w:val="24"/>
          <w:highlight w:val="none"/>
          <w:lang w:val="en-US" w:eastAsia="zh-CN"/>
        </w:rPr>
        <w:t>表</w:t>
      </w:r>
    </w:p>
    <w:p w14:paraId="5C1F4099">
      <w:pPr>
        <w:pStyle w:val="3"/>
        <w:jc w:val="right"/>
        <w:rPr>
          <w:rFonts w:hint="default"/>
          <w:sz w:val="24"/>
          <w:szCs w:val="24"/>
          <w:highlight w:val="none"/>
          <w:lang w:val="en-US" w:eastAsia="zh-CN"/>
        </w:rPr>
      </w:pPr>
      <w:r>
        <w:rPr>
          <w:rFonts w:hint="default"/>
          <w:sz w:val="24"/>
          <w:szCs w:val="24"/>
          <w:highlight w:val="none"/>
          <w:lang w:val="en-US" w:eastAsia="zh-CN"/>
        </w:rPr>
        <w:t>单位：</w:t>
      </w:r>
      <w:r>
        <w:rPr>
          <w:rFonts w:hint="eastAsia"/>
          <w:sz w:val="24"/>
          <w:szCs w:val="24"/>
          <w:highlight w:val="none"/>
          <w:lang w:val="en-US" w:eastAsia="zh-CN"/>
        </w:rPr>
        <w:t>万</w:t>
      </w:r>
      <w:r>
        <w:rPr>
          <w:rFonts w:hint="default"/>
          <w:sz w:val="24"/>
          <w:szCs w:val="24"/>
          <w:highlight w:val="none"/>
          <w:lang w:val="en-US" w:eastAsia="zh-CN"/>
        </w:rPr>
        <w:t>元</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3461"/>
        <w:gridCol w:w="2172"/>
        <w:gridCol w:w="1617"/>
      </w:tblGrid>
      <w:tr w14:paraId="0C555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blHeader/>
          <w:jc w:val="center"/>
        </w:trPr>
        <w:tc>
          <w:tcPr>
            <w:tcW w:w="1277" w:type="dxa"/>
            <w:vAlign w:val="center"/>
          </w:tcPr>
          <w:p w14:paraId="1DB551B9">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序号</w:t>
            </w:r>
          </w:p>
        </w:tc>
        <w:tc>
          <w:tcPr>
            <w:tcW w:w="3461" w:type="dxa"/>
            <w:vAlign w:val="center"/>
          </w:tcPr>
          <w:p w14:paraId="791BC3DD">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类别</w:t>
            </w:r>
          </w:p>
        </w:tc>
        <w:tc>
          <w:tcPr>
            <w:tcW w:w="2172" w:type="dxa"/>
            <w:vAlign w:val="center"/>
          </w:tcPr>
          <w:p w14:paraId="48493C59">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预算金额</w:t>
            </w:r>
          </w:p>
        </w:tc>
        <w:tc>
          <w:tcPr>
            <w:tcW w:w="1617" w:type="dxa"/>
            <w:vAlign w:val="center"/>
          </w:tcPr>
          <w:p w14:paraId="5F6DF470">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预算占比</w:t>
            </w:r>
          </w:p>
        </w:tc>
      </w:tr>
      <w:tr w14:paraId="2DB2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1277" w:type="dxa"/>
            <w:vAlign w:val="center"/>
          </w:tcPr>
          <w:p w14:paraId="46BFB19E">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w:t>
            </w:r>
          </w:p>
        </w:tc>
        <w:tc>
          <w:tcPr>
            <w:tcW w:w="3461" w:type="dxa"/>
            <w:vAlign w:val="center"/>
          </w:tcPr>
          <w:p w14:paraId="08912690">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一般公共预算拨款收入</w:t>
            </w:r>
          </w:p>
        </w:tc>
        <w:tc>
          <w:tcPr>
            <w:tcW w:w="2172" w:type="dxa"/>
            <w:vAlign w:val="center"/>
          </w:tcPr>
          <w:p w14:paraId="7E1084A7">
            <w:pPr>
              <w:keepNext w:val="0"/>
              <w:keepLines w:val="0"/>
              <w:widowControl/>
              <w:suppressLineNumbers w:val="0"/>
              <w:spacing w:before="0" w:beforeAutospacing="0" w:after="0" w:afterAutospacing="0" w:line="300" w:lineRule="exact"/>
              <w:ind w:left="0" w:right="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仿宋" w:hAnsi="仿宋" w:eastAsia="仿宋" w:cs="仿宋"/>
                <w:kern w:val="0"/>
                <w:sz w:val="22"/>
                <w:szCs w:val="22"/>
                <w:highlight w:val="none"/>
                <w:lang w:val="en-US" w:eastAsia="zh-CN" w:bidi="ar-SA"/>
              </w:rPr>
              <w:t>337.21</w:t>
            </w:r>
          </w:p>
        </w:tc>
        <w:tc>
          <w:tcPr>
            <w:tcW w:w="1617" w:type="dxa"/>
            <w:vAlign w:val="center"/>
          </w:tcPr>
          <w:p w14:paraId="78C0AAEE">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100%</w:t>
            </w:r>
          </w:p>
        </w:tc>
      </w:tr>
      <w:tr w14:paraId="1724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77" w:type="dxa"/>
            <w:vAlign w:val="center"/>
          </w:tcPr>
          <w:p w14:paraId="37D0748D">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kern w:val="0"/>
                <w:sz w:val="22"/>
                <w:szCs w:val="22"/>
                <w:highlight w:val="none"/>
                <w:lang w:val="en-US" w:eastAsia="zh-CN" w:bidi="ar-SA"/>
              </w:rPr>
            </w:pPr>
            <w:r>
              <w:rPr>
                <w:rFonts w:hint="eastAsia" w:ascii="仿宋" w:hAnsi="仿宋" w:eastAsia="仿宋" w:cs="仿宋"/>
                <w:sz w:val="22"/>
                <w:szCs w:val="22"/>
                <w:highlight w:val="none"/>
                <w:lang w:val="en-US" w:eastAsia="zh-CN"/>
              </w:rPr>
              <w:t>2</w:t>
            </w:r>
          </w:p>
        </w:tc>
        <w:tc>
          <w:tcPr>
            <w:tcW w:w="3461" w:type="dxa"/>
            <w:vAlign w:val="center"/>
          </w:tcPr>
          <w:p w14:paraId="6DB0A1D6">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政府性基金预算财政拨款收入</w:t>
            </w:r>
          </w:p>
        </w:tc>
        <w:tc>
          <w:tcPr>
            <w:tcW w:w="2172" w:type="dxa"/>
            <w:vAlign w:val="center"/>
          </w:tcPr>
          <w:p w14:paraId="29621221">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0</w:t>
            </w:r>
          </w:p>
        </w:tc>
        <w:tc>
          <w:tcPr>
            <w:tcW w:w="1617" w:type="dxa"/>
            <w:vAlign w:val="center"/>
          </w:tcPr>
          <w:p w14:paraId="3176A06D">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0%</w:t>
            </w:r>
          </w:p>
        </w:tc>
      </w:tr>
      <w:tr w14:paraId="1AFB2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77" w:type="dxa"/>
            <w:vAlign w:val="center"/>
          </w:tcPr>
          <w:p w14:paraId="40C48398">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kern w:val="0"/>
                <w:sz w:val="22"/>
                <w:szCs w:val="22"/>
                <w:highlight w:val="none"/>
                <w:lang w:val="en-US" w:eastAsia="zh-CN" w:bidi="ar-SA"/>
              </w:rPr>
            </w:pPr>
            <w:r>
              <w:rPr>
                <w:rFonts w:hint="eastAsia" w:ascii="仿宋" w:hAnsi="仿宋" w:eastAsia="仿宋" w:cs="仿宋"/>
                <w:sz w:val="22"/>
                <w:szCs w:val="22"/>
                <w:highlight w:val="none"/>
                <w:lang w:val="en-US" w:eastAsia="zh-CN"/>
              </w:rPr>
              <w:t>3</w:t>
            </w:r>
          </w:p>
        </w:tc>
        <w:tc>
          <w:tcPr>
            <w:tcW w:w="3461" w:type="dxa"/>
            <w:vAlign w:val="center"/>
          </w:tcPr>
          <w:p w14:paraId="25348BF9">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事业单位经营收入</w:t>
            </w:r>
          </w:p>
        </w:tc>
        <w:tc>
          <w:tcPr>
            <w:tcW w:w="2172" w:type="dxa"/>
            <w:vAlign w:val="center"/>
          </w:tcPr>
          <w:p w14:paraId="298EF7FD">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0</w:t>
            </w:r>
          </w:p>
        </w:tc>
        <w:tc>
          <w:tcPr>
            <w:tcW w:w="1617" w:type="dxa"/>
            <w:vAlign w:val="center"/>
          </w:tcPr>
          <w:p w14:paraId="37F6DCB3">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0%</w:t>
            </w:r>
          </w:p>
        </w:tc>
      </w:tr>
      <w:tr w14:paraId="59BC9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77" w:type="dxa"/>
            <w:vAlign w:val="center"/>
          </w:tcPr>
          <w:p w14:paraId="62674F48">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kern w:val="0"/>
                <w:sz w:val="22"/>
                <w:szCs w:val="22"/>
                <w:highlight w:val="none"/>
                <w:lang w:val="en-US" w:eastAsia="zh-CN" w:bidi="ar-SA"/>
              </w:rPr>
            </w:pPr>
            <w:r>
              <w:rPr>
                <w:rFonts w:hint="eastAsia" w:ascii="仿宋" w:hAnsi="仿宋" w:eastAsia="仿宋" w:cs="仿宋"/>
                <w:sz w:val="22"/>
                <w:szCs w:val="22"/>
                <w:highlight w:val="none"/>
                <w:lang w:val="en-US" w:eastAsia="zh-CN"/>
              </w:rPr>
              <w:t>4</w:t>
            </w:r>
          </w:p>
        </w:tc>
        <w:tc>
          <w:tcPr>
            <w:tcW w:w="3461" w:type="dxa"/>
            <w:vAlign w:val="center"/>
          </w:tcPr>
          <w:p w14:paraId="50B7721E">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其他收入</w:t>
            </w:r>
          </w:p>
        </w:tc>
        <w:tc>
          <w:tcPr>
            <w:tcW w:w="2172" w:type="dxa"/>
            <w:vAlign w:val="center"/>
          </w:tcPr>
          <w:p w14:paraId="7A8E709E">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0</w:t>
            </w:r>
          </w:p>
        </w:tc>
        <w:tc>
          <w:tcPr>
            <w:tcW w:w="1617" w:type="dxa"/>
            <w:vAlign w:val="center"/>
          </w:tcPr>
          <w:p w14:paraId="6A33A8B7">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0%</w:t>
            </w:r>
          </w:p>
        </w:tc>
      </w:tr>
      <w:tr w14:paraId="6C925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77" w:type="dxa"/>
            <w:vAlign w:val="center"/>
          </w:tcPr>
          <w:p w14:paraId="7E05FCF5">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5</w:t>
            </w:r>
          </w:p>
        </w:tc>
        <w:tc>
          <w:tcPr>
            <w:tcW w:w="3461" w:type="dxa"/>
            <w:vAlign w:val="center"/>
          </w:tcPr>
          <w:p w14:paraId="11F56DB2">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年初结转结余</w:t>
            </w:r>
          </w:p>
        </w:tc>
        <w:tc>
          <w:tcPr>
            <w:tcW w:w="2172" w:type="dxa"/>
            <w:vAlign w:val="center"/>
          </w:tcPr>
          <w:p w14:paraId="004E99D8">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0</w:t>
            </w:r>
          </w:p>
        </w:tc>
        <w:tc>
          <w:tcPr>
            <w:tcW w:w="1617" w:type="dxa"/>
            <w:vAlign w:val="center"/>
          </w:tcPr>
          <w:p w14:paraId="1D135468">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0%</w:t>
            </w:r>
          </w:p>
        </w:tc>
      </w:tr>
      <w:tr w14:paraId="6E6A3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738" w:type="dxa"/>
            <w:gridSpan w:val="2"/>
            <w:vAlign w:val="center"/>
          </w:tcPr>
          <w:p w14:paraId="669DA7E6">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合计</w:t>
            </w:r>
          </w:p>
        </w:tc>
        <w:tc>
          <w:tcPr>
            <w:tcW w:w="2172" w:type="dxa"/>
            <w:vAlign w:val="center"/>
          </w:tcPr>
          <w:p w14:paraId="5F19BF19">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337.21</w:t>
            </w:r>
          </w:p>
        </w:tc>
        <w:tc>
          <w:tcPr>
            <w:tcW w:w="1617" w:type="dxa"/>
            <w:vAlign w:val="center"/>
          </w:tcPr>
          <w:p w14:paraId="0F87807E">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b/>
                <w:bCs/>
                <w:sz w:val="22"/>
                <w:szCs w:val="22"/>
                <w:highlight w:val="none"/>
                <w:lang w:val="en-US" w:eastAsia="zh-CN"/>
              </w:rPr>
            </w:pPr>
            <w:r>
              <w:rPr>
                <w:rFonts w:hint="eastAsia" w:ascii="仿宋" w:hAnsi="仿宋" w:eastAsia="仿宋" w:cs="仿宋"/>
                <w:b/>
                <w:bCs/>
                <w:sz w:val="22"/>
                <w:szCs w:val="22"/>
                <w:highlight w:val="none"/>
                <w:lang w:val="en-US" w:eastAsia="zh-CN"/>
              </w:rPr>
              <w:t>100%</w:t>
            </w:r>
          </w:p>
        </w:tc>
      </w:tr>
    </w:tbl>
    <w:p w14:paraId="7222C050">
      <w:pPr>
        <w:pStyle w:val="4"/>
        <w:keepNext/>
        <w:keepLines/>
        <w:pageBreakBefore w:val="0"/>
        <w:widowControl w:val="0"/>
        <w:numPr>
          <w:ilvl w:val="1"/>
          <w:numId w:val="0"/>
        </w:numPr>
        <w:kinsoku/>
        <w:wordWrap/>
        <w:overflowPunct/>
        <w:topLinePunct w:val="0"/>
        <w:autoSpaceDE/>
        <w:autoSpaceDN/>
        <w:bidi w:val="0"/>
        <w:adjustRightInd w:val="0"/>
        <w:snapToGrid/>
        <w:ind w:leftChars="200"/>
        <w:textAlignment w:val="auto"/>
        <w:rPr>
          <w:rFonts w:hint="default"/>
          <w:highlight w:val="none"/>
          <w:lang w:val="en-US" w:eastAsia="zh-CN"/>
        </w:rPr>
      </w:pPr>
      <w:bookmarkStart w:id="12" w:name="_Toc12877"/>
      <w:r>
        <w:rPr>
          <w:rFonts w:hint="eastAsia"/>
          <w:highlight w:val="none"/>
          <w:lang w:val="en-US" w:eastAsia="zh-CN"/>
        </w:rPr>
        <w:t>（二）支出</w:t>
      </w:r>
      <w:r>
        <w:rPr>
          <w:rFonts w:hint="default"/>
          <w:highlight w:val="none"/>
          <w:lang w:val="en-US" w:eastAsia="zh-CN"/>
        </w:rPr>
        <w:t>情况</w:t>
      </w:r>
      <w:bookmarkEnd w:id="12"/>
    </w:p>
    <w:p w14:paraId="1E5D762F">
      <w:pPr>
        <w:widowControl w:val="0"/>
        <w:spacing w:line="600" w:lineRule="exact"/>
        <w:ind w:firstLine="640" w:firstLineChars="200"/>
        <w:jc w:val="both"/>
        <w:rPr>
          <w:rFonts w:hint="default" w:ascii="Times New Roman" w:hAnsi="Times New Roman" w:eastAsia="仿宋_GB2312" w:cs="Times New Roman"/>
          <w:color w:val="000000" w:themeColor="text1"/>
          <w:kern w:val="0"/>
          <w:sz w:val="32"/>
          <w:szCs w:val="2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32"/>
          <w:szCs w:val="28"/>
          <w:highlight w:val="none"/>
          <w:lang w:val="en-US" w:eastAsia="zh-CN" w:bidi="ar-SA"/>
          <w14:textFill>
            <w14:solidFill>
              <w14:schemeClr w14:val="tx1"/>
            </w14:solidFill>
          </w14:textFill>
        </w:rPr>
        <w:t>1.部门决算概况</w:t>
      </w:r>
    </w:p>
    <w:p w14:paraId="34FA7BE7">
      <w:pPr>
        <w:widowControl w:val="0"/>
        <w:spacing w:line="600" w:lineRule="exact"/>
        <w:ind w:firstLine="640" w:firstLineChars="200"/>
        <w:jc w:val="both"/>
        <w:rPr>
          <w:rFonts w:hint="default" w:ascii="Times New Roman" w:hAnsi="Times New Roman" w:eastAsia="仿宋_GB2312" w:cs="Times New Roman"/>
          <w:color w:val="000000" w:themeColor="text1"/>
          <w:kern w:val="0"/>
          <w:sz w:val="32"/>
          <w:szCs w:val="2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32"/>
          <w:szCs w:val="28"/>
          <w:highlight w:val="none"/>
          <w:lang w:val="en-US" w:eastAsia="zh-CN" w:bidi="ar-SA"/>
          <w14:textFill>
            <w14:solidFill>
              <w14:schemeClr w14:val="tx1"/>
            </w14:solidFill>
          </w14:textFill>
        </w:rPr>
        <w:t>2023年，市文联部门整体年初</w:t>
      </w:r>
      <w:r>
        <w:rPr>
          <w:rFonts w:ascii="Times New Roman" w:hAnsi="Times New Roman" w:eastAsia="仿宋_GB2312" w:cs="Times New Roman"/>
          <w:color w:val="000000" w:themeColor="text1"/>
          <w:kern w:val="0"/>
          <w:sz w:val="32"/>
          <w:szCs w:val="28"/>
          <w:highlight w:val="none"/>
          <w:lang w:val="zh-CN" w:eastAsia="zh-CN" w:bidi="ar-SA"/>
          <w14:textFill>
            <w14:solidFill>
              <w14:schemeClr w14:val="tx1"/>
            </w14:solidFill>
          </w14:textFill>
        </w:rPr>
        <w:t>预算为</w:t>
      </w:r>
      <w:r>
        <w:rPr>
          <w:rFonts w:hint="eastAsia" w:ascii="Times New Roman" w:hAnsi="Times New Roman" w:eastAsia="仿宋_GB2312" w:cs="Times New Roman"/>
          <w:color w:val="000000" w:themeColor="text1"/>
          <w:kern w:val="0"/>
          <w:sz w:val="32"/>
          <w:szCs w:val="28"/>
          <w:highlight w:val="none"/>
          <w:lang w:val="en-US" w:eastAsia="zh-CN" w:bidi="ar-SA"/>
          <w14:textFill>
            <w14:solidFill>
              <w14:schemeClr w14:val="tx1"/>
            </w14:solidFill>
          </w14:textFill>
        </w:rPr>
        <w:t>337.21</w:t>
      </w:r>
      <w:r>
        <w:rPr>
          <w:rFonts w:ascii="Times New Roman" w:hAnsi="Times New Roman" w:eastAsia="仿宋_GB2312" w:cs="Times New Roman"/>
          <w:color w:val="000000" w:themeColor="text1"/>
          <w:kern w:val="0"/>
          <w:sz w:val="32"/>
          <w:szCs w:val="28"/>
          <w:highlight w:val="none"/>
          <w:lang w:val="zh-CN" w:eastAsia="zh-CN" w:bidi="ar-SA"/>
          <w14:textFill>
            <w14:solidFill>
              <w14:schemeClr w14:val="tx1"/>
            </w14:solidFill>
          </w14:textFill>
        </w:rPr>
        <w:t>万元，</w:t>
      </w:r>
      <w:r>
        <w:rPr>
          <w:rFonts w:hint="eastAsia" w:ascii="Times New Roman" w:hAnsi="Times New Roman" w:eastAsia="仿宋_GB2312" w:cs="Times New Roman"/>
          <w:color w:val="000000" w:themeColor="text1"/>
          <w:kern w:val="0"/>
          <w:sz w:val="32"/>
          <w:szCs w:val="28"/>
          <w:highlight w:val="none"/>
          <w:lang w:val="zh-CN" w:eastAsia="zh-CN" w:bidi="ar-SA"/>
          <w14:textFill>
            <w14:solidFill>
              <w14:schemeClr w14:val="tx1"/>
            </w14:solidFill>
          </w14:textFill>
        </w:rPr>
        <w:t>调整后预算数为</w:t>
      </w:r>
      <w:r>
        <w:rPr>
          <w:rFonts w:hint="eastAsia" w:ascii="Times New Roman" w:hAnsi="Times New Roman" w:eastAsia="仿宋_GB2312" w:cs="Times New Roman"/>
          <w:color w:val="000000" w:themeColor="text1"/>
          <w:kern w:val="0"/>
          <w:sz w:val="32"/>
          <w:szCs w:val="28"/>
          <w:highlight w:val="none"/>
          <w:lang w:val="en-US" w:eastAsia="zh-CN" w:bidi="ar-SA"/>
          <w14:textFill>
            <w14:solidFill>
              <w14:schemeClr w14:val="tx1"/>
            </w14:solidFill>
          </w14:textFill>
        </w:rPr>
        <w:t>429.36</w:t>
      </w:r>
      <w:r>
        <w:rPr>
          <w:rFonts w:ascii="Times New Roman" w:hAnsi="Times New Roman" w:eastAsia="仿宋_GB2312" w:cs="Times New Roman"/>
          <w:color w:val="000000" w:themeColor="text1"/>
          <w:kern w:val="0"/>
          <w:sz w:val="32"/>
          <w:szCs w:val="28"/>
          <w:highlight w:val="none"/>
          <w:lang w:val="zh-CN" w:eastAsia="zh-CN" w:bidi="ar-SA"/>
          <w14:textFill>
            <w14:solidFill>
              <w14:schemeClr w14:val="tx1"/>
            </w14:solidFill>
          </w14:textFill>
        </w:rPr>
        <w:t>万元，</w:t>
      </w:r>
      <w:r>
        <w:rPr>
          <w:rFonts w:hint="eastAsia" w:ascii="Times New Roman" w:hAnsi="Times New Roman" w:eastAsia="仿宋_GB2312" w:cs="Times New Roman"/>
          <w:color w:val="000000" w:themeColor="text1"/>
          <w:kern w:val="0"/>
          <w:sz w:val="32"/>
          <w:szCs w:val="28"/>
          <w:highlight w:val="none"/>
          <w:lang w:val="en-US" w:eastAsia="zh-CN" w:bidi="ar-SA"/>
          <w14:textFill>
            <w14:solidFill>
              <w14:schemeClr w14:val="tx1"/>
            </w14:solidFill>
          </w14:textFill>
        </w:rPr>
        <w:t>实际支出420.16</w:t>
      </w:r>
      <w:r>
        <w:rPr>
          <w:rFonts w:ascii="Times New Roman" w:hAnsi="Times New Roman" w:eastAsia="仿宋_GB2312" w:cs="Times New Roman"/>
          <w:color w:val="000000" w:themeColor="text1"/>
          <w:kern w:val="0"/>
          <w:sz w:val="32"/>
          <w:szCs w:val="28"/>
          <w:highlight w:val="none"/>
          <w:lang w:val="zh-CN" w:eastAsia="zh-CN" w:bidi="ar-SA"/>
          <w14:textFill>
            <w14:solidFill>
              <w14:schemeClr w14:val="tx1"/>
            </w14:solidFill>
          </w14:textFill>
        </w:rPr>
        <w:t>万元，</w:t>
      </w:r>
      <w:r>
        <w:rPr>
          <w:rFonts w:hint="eastAsia" w:ascii="Times New Roman" w:hAnsi="Times New Roman" w:eastAsia="仿宋_GB2312" w:cs="Times New Roman"/>
          <w:color w:val="000000" w:themeColor="text1"/>
          <w:kern w:val="0"/>
          <w:sz w:val="32"/>
          <w:szCs w:val="28"/>
          <w:highlight w:val="none"/>
          <w:lang w:val="en-US" w:eastAsia="zh-Hans" w:bidi="ar-SA"/>
          <w14:textFill>
            <w14:solidFill>
              <w14:schemeClr w14:val="tx1"/>
            </w14:solidFill>
          </w14:textFill>
        </w:rPr>
        <w:t>预算执行率</w:t>
      </w:r>
      <w:r>
        <w:rPr>
          <w:rFonts w:hint="eastAsia" w:ascii="Times New Roman" w:hAnsi="Times New Roman" w:eastAsia="仿宋_GB2312" w:cs="Times New Roman"/>
          <w:color w:val="000000" w:themeColor="text1"/>
          <w:kern w:val="0"/>
          <w:sz w:val="32"/>
          <w:szCs w:val="28"/>
          <w:highlight w:val="none"/>
          <w:lang w:val="en-US" w:eastAsia="zh-CN" w:bidi="ar-SA"/>
          <w14:textFill>
            <w14:solidFill>
              <w14:schemeClr w14:val="tx1"/>
            </w14:solidFill>
          </w14:textFill>
        </w:rPr>
        <w:t>97.86%，无结转结余</w:t>
      </w:r>
      <w:r>
        <w:rPr>
          <w:rFonts w:ascii="Times New Roman" w:hAnsi="Times New Roman" w:eastAsia="仿宋_GB2312" w:cs="Times New Roman"/>
          <w:color w:val="000000" w:themeColor="text1"/>
          <w:kern w:val="0"/>
          <w:sz w:val="32"/>
          <w:szCs w:val="28"/>
          <w:highlight w:val="none"/>
          <w:lang w:val="zh-CN" w:eastAsia="zh-CN" w:bidi="ar-SA"/>
          <w14:textFill>
            <w14:solidFill>
              <w14:schemeClr w14:val="tx1"/>
            </w14:solidFill>
          </w14:textFill>
        </w:rPr>
        <w:t>。</w:t>
      </w:r>
      <w:r>
        <w:rPr>
          <w:rFonts w:hint="eastAsia" w:ascii="Times New Roman" w:hAnsi="Times New Roman" w:eastAsia="仿宋_GB2312" w:cs="Times New Roman"/>
          <w:color w:val="000000" w:themeColor="text1"/>
          <w:kern w:val="0"/>
          <w:sz w:val="32"/>
          <w:szCs w:val="28"/>
          <w:highlight w:val="none"/>
          <w:lang w:val="en-US" w:eastAsia="zh-CN" w:bidi="ar-SA"/>
          <w14:textFill>
            <w14:solidFill>
              <w14:schemeClr w14:val="tx1"/>
            </w14:solidFill>
          </w14:textFill>
        </w:rPr>
        <w:t>市文联</w:t>
      </w:r>
      <w:r>
        <w:rPr>
          <w:rFonts w:hint="default" w:ascii="Times New Roman" w:hAnsi="Times New Roman" w:eastAsia="仿宋_GB2312" w:cs="Times New Roman"/>
          <w:color w:val="000000" w:themeColor="text1"/>
          <w:kern w:val="0"/>
          <w:sz w:val="32"/>
          <w:szCs w:val="28"/>
          <w:highlight w:val="none"/>
          <w:lang w:val="en-US" w:eastAsia="zh-CN" w:bidi="ar-SA"/>
          <w14:textFill>
            <w14:solidFill>
              <w14:schemeClr w14:val="tx1"/>
            </w14:solidFill>
          </w14:textFill>
        </w:rPr>
        <w:t>部门整体（含下属单位）支出预决算情况见表2-2</w:t>
      </w:r>
      <w:r>
        <w:rPr>
          <w:rFonts w:hint="eastAsia" w:ascii="Times New Roman" w:hAnsi="Times New Roman" w:eastAsia="仿宋_GB2312" w:cs="Times New Roman"/>
          <w:color w:val="000000" w:themeColor="text1"/>
          <w:kern w:val="0"/>
          <w:sz w:val="32"/>
          <w:szCs w:val="28"/>
          <w:highlight w:val="none"/>
          <w:lang w:val="en-US" w:eastAsia="zh-CN" w:bidi="ar-SA"/>
          <w14:textFill>
            <w14:solidFill>
              <w14:schemeClr w14:val="tx1"/>
            </w14:solidFill>
          </w14:textFill>
        </w:rPr>
        <w:t>。</w:t>
      </w:r>
    </w:p>
    <w:p w14:paraId="4DC14EB2">
      <w:pPr>
        <w:widowControl w:val="0"/>
        <w:spacing w:line="600" w:lineRule="exact"/>
        <w:ind w:firstLine="562" w:firstLineChars="200"/>
        <w:jc w:val="center"/>
        <w:rPr>
          <w:rFonts w:hint="eastAsia" w:ascii="Times New Roman" w:hAnsi="Times New Roman" w:eastAsia="仿宋_GB2312" w:cs="Times New Roman"/>
          <w:b/>
          <w:bCs/>
          <w:color w:val="000000" w:themeColor="text1"/>
          <w:kern w:val="0"/>
          <w:sz w:val="28"/>
          <w:szCs w:val="28"/>
          <w:highlight w:val="none"/>
          <w:lang w:val="en-US" w:eastAsia="zh-CN" w:bidi="ar-SA"/>
          <w14:textFill>
            <w14:solidFill>
              <w14:schemeClr w14:val="tx1"/>
            </w14:solidFill>
          </w14:textFill>
        </w:rPr>
      </w:pPr>
      <w:r>
        <w:rPr>
          <w:rFonts w:hint="eastAsia" w:ascii="Times New Roman" w:hAnsi="Times New Roman" w:eastAsia="仿宋_GB2312" w:cs="Times New Roman"/>
          <w:b/>
          <w:bCs/>
          <w:color w:val="000000" w:themeColor="text1"/>
          <w:kern w:val="0"/>
          <w:sz w:val="28"/>
          <w:szCs w:val="28"/>
          <w:highlight w:val="none"/>
          <w:lang w:val="en-US" w:eastAsia="zh-CN" w:bidi="ar-SA"/>
          <w14:textFill>
            <w14:solidFill>
              <w14:schemeClr w14:val="tx1"/>
            </w14:solidFill>
          </w14:textFill>
        </w:rPr>
        <w:t>表2-2 2023年市文联部门整体支出预决算情况表</w:t>
      </w:r>
    </w:p>
    <w:p w14:paraId="6FC1FDC8">
      <w:pPr>
        <w:keepNext w:val="0"/>
        <w:keepLines w:val="0"/>
        <w:pageBreakBefore w:val="0"/>
        <w:widowControl w:val="0"/>
        <w:kinsoku/>
        <w:wordWrap/>
        <w:overflowPunct/>
        <w:topLinePunct w:val="0"/>
        <w:autoSpaceDE/>
        <w:autoSpaceDN/>
        <w:bidi w:val="0"/>
        <w:adjustRightInd/>
        <w:snapToGrid w:val="0"/>
        <w:spacing w:before="60" w:after="60" w:line="240" w:lineRule="auto"/>
        <w:ind w:left="0" w:leftChars="0" w:right="0" w:rightChars="0" w:firstLine="0" w:firstLineChars="0"/>
        <w:jc w:val="right"/>
        <w:textAlignment w:val="auto"/>
        <w:outlineLvl w:val="9"/>
        <w:rPr>
          <w:rFonts w:ascii="Times New Roman" w:hAnsi="Times New Roman" w:eastAsia="仿宋_GB2312" w:cs="Times New Roman"/>
          <w:b/>
          <w:kern w:val="0"/>
          <w:sz w:val="24"/>
          <w:szCs w:val="28"/>
          <w:highlight w:val="none"/>
          <w:lang w:val="en-US" w:eastAsia="zh-CN" w:bidi="ar-SA"/>
        </w:rPr>
      </w:pPr>
      <w:r>
        <w:rPr>
          <w:rFonts w:hint="eastAsia" w:ascii="Times New Roman" w:hAnsi="Times New Roman" w:eastAsia="仿宋_GB2312" w:cs="Times New Roman"/>
          <w:b w:val="0"/>
          <w:bCs w:val="0"/>
          <w:color w:val="000000" w:themeColor="text1"/>
          <w:kern w:val="0"/>
          <w:sz w:val="24"/>
          <w:szCs w:val="24"/>
          <w:highlight w:val="none"/>
          <w:lang w:val="zh-CN" w:eastAsia="zh-CN" w:bidi="ar-SA"/>
          <w14:textFill>
            <w14:solidFill>
              <w14:schemeClr w14:val="tx1"/>
            </w14:solidFill>
          </w14:textFill>
        </w:rPr>
        <w:t>单位：万元</w:t>
      </w:r>
    </w:p>
    <w:tbl>
      <w:tblPr>
        <w:tblStyle w:val="22"/>
        <w:tblW w:w="50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2"/>
        <w:gridCol w:w="1380"/>
        <w:gridCol w:w="1697"/>
        <w:gridCol w:w="1697"/>
        <w:gridCol w:w="1710"/>
      </w:tblGrid>
      <w:tr w14:paraId="7C243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trPr>
        <w:tc>
          <w:tcPr>
            <w:tcW w:w="1254" w:type="pct"/>
            <w:vAlign w:val="center"/>
          </w:tcPr>
          <w:p w14:paraId="44A6C698">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eastAsia" w:ascii="仿宋" w:hAnsi="仿宋" w:eastAsia="仿宋" w:cs="仿宋"/>
                <w:b/>
                <w:bCs w:val="0"/>
                <w:color w:val="000000"/>
                <w:kern w:val="0"/>
                <w:sz w:val="22"/>
                <w:szCs w:val="22"/>
                <w:highlight w:val="none"/>
                <w:lang w:val="zh-CN" w:eastAsia="zh-CN" w:bidi="ar-SA"/>
              </w:rPr>
            </w:pPr>
            <w:r>
              <w:rPr>
                <w:rFonts w:hint="eastAsia" w:ascii="仿宋" w:hAnsi="仿宋" w:eastAsia="仿宋" w:cs="仿宋"/>
                <w:b/>
                <w:bCs w:val="0"/>
                <w:color w:val="000000"/>
                <w:kern w:val="0"/>
                <w:sz w:val="22"/>
                <w:szCs w:val="22"/>
                <w:highlight w:val="none"/>
                <w:lang w:val="zh-CN" w:eastAsia="zh-CN" w:bidi="ar-SA"/>
              </w:rPr>
              <w:t>类别</w:t>
            </w:r>
          </w:p>
        </w:tc>
        <w:tc>
          <w:tcPr>
            <w:tcW w:w="797" w:type="pct"/>
            <w:vAlign w:val="center"/>
          </w:tcPr>
          <w:p w14:paraId="27F6DA67">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eastAsia" w:ascii="仿宋" w:hAnsi="仿宋" w:eastAsia="仿宋" w:cs="仿宋"/>
                <w:b/>
                <w:bCs w:val="0"/>
                <w:color w:val="000000"/>
                <w:kern w:val="0"/>
                <w:sz w:val="22"/>
                <w:szCs w:val="22"/>
                <w:highlight w:val="none"/>
                <w:lang w:val="zh-CN" w:eastAsia="zh-CN" w:bidi="ar-SA"/>
              </w:rPr>
            </w:pPr>
            <w:r>
              <w:rPr>
                <w:rFonts w:hint="eastAsia" w:ascii="仿宋" w:hAnsi="仿宋" w:eastAsia="仿宋" w:cs="仿宋"/>
                <w:b/>
                <w:bCs w:val="0"/>
                <w:color w:val="000000"/>
                <w:kern w:val="0"/>
                <w:sz w:val="22"/>
                <w:szCs w:val="22"/>
                <w:highlight w:val="none"/>
                <w:lang w:val="zh-CN" w:eastAsia="zh-CN" w:bidi="ar-SA"/>
              </w:rPr>
              <w:t>预算数</w:t>
            </w:r>
          </w:p>
        </w:tc>
        <w:tc>
          <w:tcPr>
            <w:tcW w:w="980" w:type="pct"/>
            <w:vAlign w:val="center"/>
          </w:tcPr>
          <w:p w14:paraId="17417593">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eastAsia" w:ascii="仿宋" w:hAnsi="仿宋" w:eastAsia="仿宋" w:cs="仿宋"/>
                <w:b/>
                <w:bCs w:val="0"/>
                <w:color w:val="000000"/>
                <w:kern w:val="0"/>
                <w:sz w:val="22"/>
                <w:szCs w:val="22"/>
                <w:highlight w:val="none"/>
                <w:lang w:val="zh-CN" w:eastAsia="zh-CN" w:bidi="ar-SA"/>
              </w:rPr>
            </w:pPr>
            <w:r>
              <w:rPr>
                <w:rFonts w:hint="eastAsia" w:ascii="仿宋" w:hAnsi="仿宋" w:eastAsia="仿宋" w:cs="仿宋"/>
                <w:b/>
                <w:bCs w:val="0"/>
                <w:color w:val="000000"/>
                <w:kern w:val="0"/>
                <w:sz w:val="22"/>
                <w:szCs w:val="22"/>
                <w:highlight w:val="none"/>
                <w:lang w:val="zh-CN" w:eastAsia="zh-CN" w:bidi="ar-SA"/>
              </w:rPr>
              <w:t>调整后预算数</w:t>
            </w:r>
          </w:p>
        </w:tc>
        <w:tc>
          <w:tcPr>
            <w:tcW w:w="980" w:type="pct"/>
            <w:vAlign w:val="center"/>
          </w:tcPr>
          <w:p w14:paraId="0223AA8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2"/>
                <w:szCs w:val="22"/>
                <w:highlight w:val="none"/>
              </w:rPr>
            </w:pPr>
            <w:r>
              <w:rPr>
                <w:rFonts w:hint="eastAsia" w:ascii="仿宋" w:hAnsi="仿宋" w:eastAsia="仿宋" w:cs="仿宋"/>
                <w:b/>
                <w:bCs/>
                <w:i w:val="0"/>
                <w:iCs w:val="0"/>
                <w:color w:val="000000"/>
                <w:kern w:val="0"/>
                <w:sz w:val="22"/>
                <w:szCs w:val="22"/>
                <w:highlight w:val="none"/>
                <w:lang w:val="en-US" w:eastAsia="zh-CN" w:bidi="ar"/>
              </w:rPr>
              <w:t>决算数</w:t>
            </w:r>
          </w:p>
          <w:p w14:paraId="1391B14D">
            <w:pPr>
              <w:keepNext w:val="0"/>
              <w:keepLines w:val="0"/>
              <w:widowControl w:val="0"/>
              <w:suppressLineNumbers w:val="0"/>
              <w:spacing w:before="0" w:beforeAutospacing="0" w:after="0" w:afterAutospacing="0"/>
              <w:ind w:left="0" w:right="0"/>
              <w:jc w:val="center"/>
              <w:rPr>
                <w:rFonts w:hint="eastAsia" w:ascii="仿宋" w:hAnsi="仿宋" w:eastAsia="仿宋" w:cs="仿宋"/>
                <w:b/>
                <w:bCs w:val="0"/>
                <w:color w:val="000000"/>
                <w:kern w:val="0"/>
                <w:sz w:val="22"/>
                <w:szCs w:val="22"/>
                <w:highlight w:val="none"/>
                <w:lang w:val="zh-CN" w:eastAsia="zh-CN" w:bidi="ar-SA"/>
              </w:rPr>
            </w:pPr>
            <w:r>
              <w:rPr>
                <w:rFonts w:hint="eastAsia" w:ascii="仿宋" w:hAnsi="仿宋" w:eastAsia="仿宋" w:cs="仿宋"/>
                <w:b/>
                <w:bCs/>
                <w:i w:val="0"/>
                <w:iCs w:val="0"/>
                <w:color w:val="000000"/>
                <w:kern w:val="0"/>
                <w:sz w:val="22"/>
                <w:szCs w:val="22"/>
                <w:highlight w:val="none"/>
                <w:lang w:val="en-US" w:eastAsia="zh-CN" w:bidi="ar"/>
              </w:rPr>
              <w:t>（实际支出数）</w:t>
            </w:r>
          </w:p>
        </w:tc>
        <w:tc>
          <w:tcPr>
            <w:tcW w:w="987" w:type="pct"/>
            <w:vAlign w:val="center"/>
          </w:tcPr>
          <w:p w14:paraId="2C33C9BC">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eastAsia" w:ascii="仿宋" w:hAnsi="仿宋" w:eastAsia="仿宋" w:cs="仿宋"/>
                <w:b/>
                <w:bCs w:val="0"/>
                <w:color w:val="000000"/>
                <w:kern w:val="0"/>
                <w:sz w:val="22"/>
                <w:szCs w:val="22"/>
                <w:highlight w:val="none"/>
                <w:lang w:val="en-US" w:eastAsia="zh-Hans" w:bidi="ar-SA"/>
              </w:rPr>
            </w:pPr>
            <w:r>
              <w:rPr>
                <w:rFonts w:hint="eastAsia" w:ascii="仿宋" w:hAnsi="仿宋" w:eastAsia="仿宋" w:cs="仿宋"/>
                <w:b/>
                <w:bCs w:val="0"/>
                <w:color w:val="000000"/>
                <w:kern w:val="0"/>
                <w:sz w:val="22"/>
                <w:szCs w:val="22"/>
                <w:highlight w:val="none"/>
                <w:lang w:val="en-US" w:eastAsia="zh-Hans" w:bidi="ar-SA"/>
              </w:rPr>
              <w:t>预算执行率</w:t>
            </w:r>
          </w:p>
        </w:tc>
      </w:tr>
      <w:tr w14:paraId="361C5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54" w:type="pct"/>
            <w:vAlign w:val="center"/>
          </w:tcPr>
          <w:p w14:paraId="26AA5A2A">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eastAsia" w:ascii="仿宋" w:hAnsi="仿宋" w:eastAsia="仿宋" w:cs="仿宋"/>
                <w:bCs/>
                <w:color w:val="000000"/>
                <w:kern w:val="0"/>
                <w:sz w:val="22"/>
                <w:szCs w:val="22"/>
                <w:highlight w:val="none"/>
                <w:lang w:val="zh-CN" w:eastAsia="zh-CN" w:bidi="ar-SA"/>
              </w:rPr>
            </w:pPr>
            <w:r>
              <w:rPr>
                <w:rFonts w:hint="eastAsia" w:ascii="仿宋" w:hAnsi="仿宋" w:eastAsia="仿宋" w:cs="仿宋"/>
                <w:bCs/>
                <w:color w:val="000000"/>
                <w:kern w:val="0"/>
                <w:sz w:val="22"/>
                <w:szCs w:val="22"/>
                <w:highlight w:val="none"/>
                <w:lang w:val="en-US" w:eastAsia="zh-CN" w:bidi="ar-SA"/>
              </w:rPr>
              <w:t>一、</w:t>
            </w:r>
            <w:r>
              <w:rPr>
                <w:rFonts w:hint="eastAsia" w:ascii="仿宋" w:hAnsi="仿宋" w:eastAsia="仿宋" w:cs="仿宋"/>
                <w:bCs/>
                <w:color w:val="000000"/>
                <w:kern w:val="0"/>
                <w:sz w:val="22"/>
                <w:szCs w:val="22"/>
                <w:highlight w:val="none"/>
                <w:lang w:val="zh-CN" w:eastAsia="zh-CN" w:bidi="ar-SA"/>
              </w:rPr>
              <w:t>基本支出</w:t>
            </w:r>
          </w:p>
        </w:tc>
        <w:tc>
          <w:tcPr>
            <w:tcW w:w="1380" w:type="dxa"/>
            <w:vAlign w:val="center"/>
          </w:tcPr>
          <w:p w14:paraId="4FA5AB28">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default" w:ascii="仿宋" w:hAnsi="仿宋" w:eastAsia="仿宋" w:cs="仿宋"/>
                <w:bCs/>
                <w:color w:val="000000"/>
                <w:kern w:val="0"/>
                <w:sz w:val="22"/>
                <w:szCs w:val="22"/>
                <w:highlight w:val="none"/>
                <w:lang w:val="en-US" w:eastAsia="zh-CN" w:bidi="ar-SA"/>
              </w:rPr>
            </w:pPr>
            <w:r>
              <w:rPr>
                <w:rFonts w:hint="default" w:ascii="仿宋" w:hAnsi="仿宋" w:eastAsia="仿宋" w:cs="仿宋"/>
                <w:bCs/>
                <w:color w:val="000000"/>
                <w:kern w:val="0"/>
                <w:sz w:val="22"/>
                <w:szCs w:val="22"/>
                <w:highlight w:val="none"/>
                <w:lang w:val="en-US" w:eastAsia="zh-CN" w:bidi="ar-SA"/>
              </w:rPr>
              <w:t>197.75</w:t>
            </w:r>
          </w:p>
        </w:tc>
        <w:tc>
          <w:tcPr>
            <w:tcW w:w="1697" w:type="dxa"/>
            <w:vAlign w:val="center"/>
          </w:tcPr>
          <w:p w14:paraId="327A4FE4">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default" w:ascii="仿宋" w:hAnsi="仿宋" w:eastAsia="仿宋" w:cs="仿宋"/>
                <w:bCs/>
                <w:color w:val="000000"/>
                <w:kern w:val="0"/>
                <w:sz w:val="22"/>
                <w:szCs w:val="22"/>
                <w:highlight w:val="none"/>
                <w:lang w:val="en-US" w:eastAsia="zh-CN" w:bidi="ar-SA"/>
              </w:rPr>
            </w:pPr>
            <w:r>
              <w:rPr>
                <w:rFonts w:hint="default" w:ascii="仿宋" w:hAnsi="仿宋" w:eastAsia="仿宋" w:cs="仿宋"/>
                <w:bCs/>
                <w:color w:val="000000"/>
                <w:kern w:val="0"/>
                <w:sz w:val="22"/>
                <w:szCs w:val="22"/>
                <w:highlight w:val="none"/>
                <w:lang w:val="en-US" w:eastAsia="zh-CN" w:bidi="ar-SA"/>
              </w:rPr>
              <w:t>245.23</w:t>
            </w:r>
          </w:p>
        </w:tc>
        <w:tc>
          <w:tcPr>
            <w:tcW w:w="1697" w:type="dxa"/>
            <w:vAlign w:val="center"/>
          </w:tcPr>
          <w:p w14:paraId="4A81D433">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eastAsia" w:ascii="仿宋" w:hAnsi="仿宋" w:eastAsia="仿宋" w:cs="仿宋"/>
                <w:bCs/>
                <w:color w:val="000000"/>
                <w:kern w:val="0"/>
                <w:sz w:val="22"/>
                <w:szCs w:val="22"/>
                <w:highlight w:val="none"/>
                <w:lang w:val="en-US" w:eastAsia="zh-CN" w:bidi="ar-SA"/>
              </w:rPr>
            </w:pPr>
            <w:r>
              <w:rPr>
                <w:rFonts w:hint="default" w:ascii="仿宋" w:hAnsi="仿宋" w:eastAsia="仿宋" w:cs="仿宋"/>
                <w:bCs/>
                <w:color w:val="000000"/>
                <w:kern w:val="0"/>
                <w:sz w:val="22"/>
                <w:szCs w:val="22"/>
                <w:highlight w:val="none"/>
                <w:lang w:val="en-US" w:eastAsia="zh-CN" w:bidi="ar-SA"/>
              </w:rPr>
              <w:t>238.5</w:t>
            </w:r>
          </w:p>
        </w:tc>
        <w:tc>
          <w:tcPr>
            <w:tcW w:w="1732" w:type="dxa"/>
            <w:vAlign w:val="center"/>
          </w:tcPr>
          <w:p w14:paraId="4AAED5B0">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default" w:ascii="仿宋" w:hAnsi="仿宋" w:eastAsia="仿宋" w:cs="仿宋"/>
                <w:bCs/>
                <w:color w:val="000000"/>
                <w:kern w:val="0"/>
                <w:sz w:val="22"/>
                <w:szCs w:val="22"/>
                <w:highlight w:val="none"/>
                <w:lang w:val="en-US" w:eastAsia="zh-CN" w:bidi="ar-SA"/>
              </w:rPr>
            </w:pPr>
            <w:r>
              <w:rPr>
                <w:rFonts w:hint="default" w:ascii="仿宋" w:hAnsi="仿宋" w:eastAsia="仿宋" w:cs="仿宋"/>
                <w:bCs/>
                <w:color w:val="000000"/>
                <w:kern w:val="0"/>
                <w:sz w:val="22"/>
                <w:szCs w:val="22"/>
                <w:highlight w:val="none"/>
                <w:lang w:val="en-US" w:eastAsia="zh-CN" w:bidi="ar-SA"/>
              </w:rPr>
              <w:t>97.25%</w:t>
            </w:r>
          </w:p>
        </w:tc>
      </w:tr>
      <w:tr w14:paraId="1322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54" w:type="pct"/>
            <w:vAlign w:val="center"/>
          </w:tcPr>
          <w:p w14:paraId="03728934">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eastAsia" w:ascii="仿宋" w:hAnsi="仿宋" w:eastAsia="仿宋" w:cs="仿宋"/>
                <w:bCs/>
                <w:color w:val="000000"/>
                <w:kern w:val="0"/>
                <w:sz w:val="22"/>
                <w:szCs w:val="22"/>
                <w:highlight w:val="none"/>
                <w:lang w:val="en-US" w:eastAsia="zh-CN" w:bidi="ar-SA"/>
              </w:rPr>
            </w:pPr>
            <w:r>
              <w:rPr>
                <w:rFonts w:hint="eastAsia" w:ascii="仿宋" w:hAnsi="仿宋" w:eastAsia="仿宋" w:cs="仿宋"/>
                <w:bCs/>
                <w:color w:val="000000"/>
                <w:kern w:val="0"/>
                <w:sz w:val="22"/>
                <w:szCs w:val="22"/>
                <w:highlight w:val="none"/>
                <w:lang w:val="en-US" w:eastAsia="zh-CN" w:bidi="ar-SA"/>
              </w:rPr>
              <w:t>1、人员经费</w:t>
            </w:r>
          </w:p>
        </w:tc>
        <w:tc>
          <w:tcPr>
            <w:tcW w:w="1380" w:type="dxa"/>
            <w:vAlign w:val="center"/>
          </w:tcPr>
          <w:p w14:paraId="6C50F336">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default" w:ascii="仿宋" w:hAnsi="仿宋" w:eastAsia="仿宋" w:cs="仿宋"/>
                <w:bCs/>
                <w:color w:val="000000"/>
                <w:kern w:val="0"/>
                <w:sz w:val="22"/>
                <w:szCs w:val="22"/>
                <w:highlight w:val="none"/>
                <w:lang w:val="en-US" w:eastAsia="zh-CN" w:bidi="ar-SA"/>
              </w:rPr>
            </w:pPr>
            <w:r>
              <w:rPr>
                <w:rFonts w:hint="default" w:ascii="仿宋" w:hAnsi="仿宋" w:eastAsia="仿宋" w:cs="仿宋"/>
                <w:bCs/>
                <w:color w:val="000000"/>
                <w:kern w:val="0"/>
                <w:sz w:val="22"/>
                <w:szCs w:val="22"/>
                <w:highlight w:val="none"/>
                <w:lang w:val="en-US" w:eastAsia="zh-CN" w:bidi="ar-SA"/>
              </w:rPr>
              <w:t>171.46</w:t>
            </w:r>
          </w:p>
        </w:tc>
        <w:tc>
          <w:tcPr>
            <w:tcW w:w="1697" w:type="dxa"/>
            <w:vAlign w:val="center"/>
          </w:tcPr>
          <w:p w14:paraId="05E2205D">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default" w:ascii="仿宋" w:hAnsi="仿宋" w:eastAsia="仿宋" w:cs="仿宋"/>
                <w:bCs/>
                <w:color w:val="000000"/>
                <w:kern w:val="0"/>
                <w:sz w:val="22"/>
                <w:szCs w:val="22"/>
                <w:highlight w:val="none"/>
                <w:lang w:val="en-US" w:eastAsia="zh-CN" w:bidi="ar-SA"/>
              </w:rPr>
            </w:pPr>
            <w:r>
              <w:rPr>
                <w:rFonts w:hint="default" w:ascii="仿宋" w:hAnsi="仿宋" w:eastAsia="仿宋" w:cs="仿宋"/>
                <w:bCs/>
                <w:color w:val="000000"/>
                <w:kern w:val="0"/>
                <w:sz w:val="22"/>
                <w:szCs w:val="22"/>
                <w:highlight w:val="none"/>
                <w:lang w:val="en-US" w:eastAsia="zh-CN" w:bidi="ar-SA"/>
              </w:rPr>
              <w:t>206.78</w:t>
            </w:r>
          </w:p>
        </w:tc>
        <w:tc>
          <w:tcPr>
            <w:tcW w:w="1697" w:type="dxa"/>
            <w:vAlign w:val="center"/>
          </w:tcPr>
          <w:p w14:paraId="43936304">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eastAsia" w:ascii="仿宋" w:hAnsi="仿宋" w:eastAsia="仿宋" w:cs="仿宋"/>
                <w:bCs/>
                <w:color w:val="000000"/>
                <w:kern w:val="0"/>
                <w:sz w:val="22"/>
                <w:szCs w:val="22"/>
                <w:highlight w:val="none"/>
                <w:lang w:val="en-US" w:eastAsia="zh-CN" w:bidi="ar-SA"/>
              </w:rPr>
            </w:pPr>
            <w:r>
              <w:rPr>
                <w:rFonts w:hint="default" w:ascii="仿宋" w:hAnsi="仿宋" w:eastAsia="仿宋" w:cs="仿宋"/>
                <w:bCs/>
                <w:color w:val="000000"/>
                <w:kern w:val="0"/>
                <w:sz w:val="22"/>
                <w:szCs w:val="22"/>
                <w:highlight w:val="none"/>
                <w:lang w:val="en-US" w:eastAsia="zh-CN" w:bidi="ar-SA"/>
              </w:rPr>
              <w:t>204.04</w:t>
            </w:r>
          </w:p>
        </w:tc>
        <w:tc>
          <w:tcPr>
            <w:tcW w:w="1732" w:type="dxa"/>
            <w:vAlign w:val="center"/>
          </w:tcPr>
          <w:p w14:paraId="3F12A331">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eastAsia" w:ascii="仿宋" w:hAnsi="仿宋" w:eastAsia="仿宋" w:cs="仿宋"/>
                <w:bCs/>
                <w:color w:val="000000"/>
                <w:kern w:val="0"/>
                <w:sz w:val="22"/>
                <w:szCs w:val="22"/>
                <w:highlight w:val="none"/>
                <w:lang w:val="en-US" w:eastAsia="zh-CN" w:bidi="ar-SA"/>
              </w:rPr>
            </w:pPr>
            <w:r>
              <w:rPr>
                <w:rFonts w:hint="default" w:ascii="仿宋" w:hAnsi="仿宋" w:eastAsia="仿宋" w:cs="仿宋"/>
                <w:bCs/>
                <w:color w:val="000000"/>
                <w:kern w:val="0"/>
                <w:sz w:val="22"/>
                <w:szCs w:val="22"/>
                <w:highlight w:val="none"/>
                <w:lang w:val="en-US" w:eastAsia="zh-CN" w:bidi="ar-SA"/>
              </w:rPr>
              <w:t>98.67%</w:t>
            </w:r>
          </w:p>
        </w:tc>
      </w:tr>
      <w:tr w14:paraId="63C91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54" w:type="pct"/>
            <w:vAlign w:val="center"/>
          </w:tcPr>
          <w:p w14:paraId="13DDF1EB">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eastAsia" w:ascii="仿宋" w:hAnsi="仿宋" w:eastAsia="仿宋" w:cs="仿宋"/>
                <w:bCs/>
                <w:color w:val="000000"/>
                <w:kern w:val="0"/>
                <w:sz w:val="22"/>
                <w:szCs w:val="22"/>
                <w:highlight w:val="none"/>
                <w:lang w:val="en-US" w:eastAsia="zh-CN" w:bidi="ar-SA"/>
              </w:rPr>
            </w:pPr>
            <w:r>
              <w:rPr>
                <w:rFonts w:hint="eastAsia" w:ascii="仿宋" w:hAnsi="仿宋" w:eastAsia="仿宋" w:cs="仿宋"/>
                <w:bCs/>
                <w:color w:val="000000"/>
                <w:kern w:val="0"/>
                <w:sz w:val="22"/>
                <w:szCs w:val="22"/>
                <w:highlight w:val="none"/>
                <w:lang w:val="en-US" w:eastAsia="zh-CN" w:bidi="ar-SA"/>
              </w:rPr>
              <w:t>2、公用经费</w:t>
            </w:r>
          </w:p>
        </w:tc>
        <w:tc>
          <w:tcPr>
            <w:tcW w:w="1380" w:type="dxa"/>
            <w:vAlign w:val="center"/>
          </w:tcPr>
          <w:p w14:paraId="5DD86577">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default" w:ascii="仿宋" w:hAnsi="仿宋" w:eastAsia="仿宋" w:cs="仿宋"/>
                <w:bCs/>
                <w:color w:val="000000"/>
                <w:kern w:val="0"/>
                <w:sz w:val="22"/>
                <w:szCs w:val="22"/>
                <w:highlight w:val="none"/>
                <w:lang w:val="en-US" w:eastAsia="zh-CN" w:bidi="ar-SA"/>
              </w:rPr>
            </w:pPr>
            <w:r>
              <w:rPr>
                <w:rFonts w:hint="default" w:ascii="仿宋" w:hAnsi="仿宋" w:eastAsia="仿宋" w:cs="仿宋"/>
                <w:bCs/>
                <w:color w:val="000000"/>
                <w:kern w:val="0"/>
                <w:sz w:val="22"/>
                <w:szCs w:val="22"/>
                <w:highlight w:val="none"/>
                <w:lang w:val="en-US" w:eastAsia="zh-CN" w:bidi="ar-SA"/>
              </w:rPr>
              <w:t>26.29</w:t>
            </w:r>
          </w:p>
        </w:tc>
        <w:tc>
          <w:tcPr>
            <w:tcW w:w="1697" w:type="dxa"/>
            <w:vAlign w:val="center"/>
          </w:tcPr>
          <w:p w14:paraId="70552F39">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default" w:ascii="仿宋" w:hAnsi="仿宋" w:eastAsia="仿宋" w:cs="仿宋"/>
                <w:bCs/>
                <w:color w:val="000000"/>
                <w:kern w:val="0"/>
                <w:sz w:val="22"/>
                <w:szCs w:val="22"/>
                <w:highlight w:val="none"/>
                <w:lang w:val="en-US" w:eastAsia="zh-CN" w:bidi="ar-SA"/>
              </w:rPr>
            </w:pPr>
            <w:r>
              <w:rPr>
                <w:rFonts w:hint="default" w:ascii="仿宋" w:hAnsi="仿宋" w:eastAsia="仿宋" w:cs="仿宋"/>
                <w:bCs/>
                <w:color w:val="000000"/>
                <w:kern w:val="0"/>
                <w:sz w:val="22"/>
                <w:szCs w:val="22"/>
                <w:highlight w:val="none"/>
                <w:lang w:val="en-US" w:eastAsia="zh-CN" w:bidi="ar-SA"/>
              </w:rPr>
              <w:t>38.45</w:t>
            </w:r>
          </w:p>
        </w:tc>
        <w:tc>
          <w:tcPr>
            <w:tcW w:w="1697" w:type="dxa"/>
            <w:vAlign w:val="center"/>
          </w:tcPr>
          <w:p w14:paraId="4FA0D877">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eastAsia" w:ascii="仿宋" w:hAnsi="仿宋" w:eastAsia="仿宋" w:cs="仿宋"/>
                <w:bCs/>
                <w:color w:val="000000"/>
                <w:kern w:val="0"/>
                <w:sz w:val="22"/>
                <w:szCs w:val="22"/>
                <w:highlight w:val="none"/>
                <w:lang w:val="en-US" w:eastAsia="zh-CN" w:bidi="ar-SA"/>
              </w:rPr>
            </w:pPr>
            <w:r>
              <w:rPr>
                <w:rFonts w:hint="default" w:ascii="仿宋" w:hAnsi="仿宋" w:eastAsia="仿宋" w:cs="仿宋"/>
                <w:bCs/>
                <w:color w:val="000000"/>
                <w:kern w:val="0"/>
                <w:sz w:val="22"/>
                <w:szCs w:val="22"/>
                <w:highlight w:val="none"/>
                <w:lang w:val="en-US" w:eastAsia="zh-CN" w:bidi="ar-SA"/>
              </w:rPr>
              <w:t>34.46</w:t>
            </w:r>
          </w:p>
        </w:tc>
        <w:tc>
          <w:tcPr>
            <w:tcW w:w="1732" w:type="dxa"/>
            <w:vAlign w:val="center"/>
          </w:tcPr>
          <w:p w14:paraId="5A273AA8">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eastAsia" w:ascii="仿宋" w:hAnsi="仿宋" w:eastAsia="仿宋" w:cs="仿宋"/>
                <w:bCs/>
                <w:color w:val="000000"/>
                <w:kern w:val="0"/>
                <w:sz w:val="22"/>
                <w:szCs w:val="22"/>
                <w:highlight w:val="none"/>
                <w:lang w:val="en-US" w:eastAsia="zh-CN" w:bidi="ar-SA"/>
              </w:rPr>
            </w:pPr>
            <w:r>
              <w:rPr>
                <w:rFonts w:hint="default" w:ascii="仿宋" w:hAnsi="仿宋" w:eastAsia="仿宋" w:cs="仿宋"/>
                <w:bCs/>
                <w:color w:val="000000"/>
                <w:kern w:val="0"/>
                <w:sz w:val="22"/>
                <w:szCs w:val="22"/>
                <w:highlight w:val="none"/>
                <w:lang w:val="en-US" w:eastAsia="zh-CN" w:bidi="ar-SA"/>
              </w:rPr>
              <w:t>89.63%</w:t>
            </w:r>
          </w:p>
        </w:tc>
      </w:tr>
      <w:tr w14:paraId="257DE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54" w:type="pct"/>
            <w:vAlign w:val="center"/>
          </w:tcPr>
          <w:p w14:paraId="4FE7F67E">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eastAsia" w:ascii="仿宋" w:hAnsi="仿宋" w:eastAsia="仿宋" w:cs="仿宋"/>
                <w:bCs/>
                <w:color w:val="000000"/>
                <w:kern w:val="0"/>
                <w:sz w:val="22"/>
                <w:szCs w:val="22"/>
                <w:highlight w:val="none"/>
                <w:lang w:val="zh-CN" w:eastAsia="zh-CN" w:bidi="ar-SA"/>
              </w:rPr>
            </w:pPr>
            <w:r>
              <w:rPr>
                <w:rFonts w:hint="eastAsia" w:ascii="仿宋" w:hAnsi="仿宋" w:eastAsia="仿宋" w:cs="仿宋"/>
                <w:bCs/>
                <w:color w:val="000000"/>
                <w:kern w:val="0"/>
                <w:sz w:val="22"/>
                <w:szCs w:val="22"/>
                <w:highlight w:val="none"/>
                <w:lang w:val="en-US" w:eastAsia="zh-CN" w:bidi="ar-SA"/>
              </w:rPr>
              <w:t>二、</w:t>
            </w:r>
            <w:r>
              <w:rPr>
                <w:rFonts w:hint="eastAsia" w:ascii="仿宋" w:hAnsi="仿宋" w:eastAsia="仿宋" w:cs="仿宋"/>
                <w:bCs/>
                <w:color w:val="000000"/>
                <w:kern w:val="0"/>
                <w:sz w:val="22"/>
                <w:szCs w:val="22"/>
                <w:highlight w:val="none"/>
                <w:lang w:val="zh-CN" w:eastAsia="zh-CN" w:bidi="ar-SA"/>
              </w:rPr>
              <w:t>项目支出</w:t>
            </w:r>
          </w:p>
        </w:tc>
        <w:tc>
          <w:tcPr>
            <w:tcW w:w="1380" w:type="dxa"/>
            <w:vAlign w:val="center"/>
          </w:tcPr>
          <w:p w14:paraId="24EEC5EE">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default" w:ascii="仿宋" w:hAnsi="仿宋" w:eastAsia="仿宋" w:cs="仿宋"/>
                <w:bCs/>
                <w:color w:val="000000"/>
                <w:kern w:val="0"/>
                <w:sz w:val="22"/>
                <w:szCs w:val="22"/>
                <w:highlight w:val="none"/>
                <w:lang w:val="en-US" w:eastAsia="zh-CN" w:bidi="ar-SA"/>
              </w:rPr>
            </w:pPr>
            <w:r>
              <w:rPr>
                <w:rFonts w:hint="default" w:ascii="仿宋" w:hAnsi="仿宋" w:eastAsia="仿宋" w:cs="仿宋"/>
                <w:bCs/>
                <w:color w:val="000000"/>
                <w:kern w:val="0"/>
                <w:sz w:val="22"/>
                <w:szCs w:val="22"/>
                <w:highlight w:val="none"/>
                <w:lang w:val="en-US" w:eastAsia="zh-CN" w:bidi="ar-SA"/>
              </w:rPr>
              <w:t>139.46</w:t>
            </w:r>
          </w:p>
        </w:tc>
        <w:tc>
          <w:tcPr>
            <w:tcW w:w="1697" w:type="dxa"/>
            <w:vAlign w:val="center"/>
          </w:tcPr>
          <w:p w14:paraId="154A2C23">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default" w:ascii="仿宋" w:hAnsi="仿宋" w:eastAsia="仿宋" w:cs="仿宋"/>
                <w:bCs/>
                <w:color w:val="000000"/>
                <w:kern w:val="0"/>
                <w:sz w:val="22"/>
                <w:szCs w:val="22"/>
                <w:highlight w:val="none"/>
                <w:lang w:val="en-US" w:eastAsia="zh-CN" w:bidi="ar-SA"/>
              </w:rPr>
            </w:pPr>
            <w:r>
              <w:rPr>
                <w:rFonts w:hint="default" w:ascii="仿宋" w:hAnsi="仿宋" w:eastAsia="仿宋" w:cs="仿宋"/>
                <w:bCs/>
                <w:color w:val="000000"/>
                <w:kern w:val="0"/>
                <w:sz w:val="22"/>
                <w:szCs w:val="22"/>
                <w:highlight w:val="none"/>
                <w:lang w:val="en-US" w:eastAsia="zh-CN" w:bidi="ar-SA"/>
              </w:rPr>
              <w:t>184.13</w:t>
            </w:r>
          </w:p>
        </w:tc>
        <w:tc>
          <w:tcPr>
            <w:tcW w:w="1697" w:type="dxa"/>
            <w:vAlign w:val="center"/>
          </w:tcPr>
          <w:p w14:paraId="7CC7A8C0">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default" w:ascii="仿宋" w:hAnsi="仿宋" w:eastAsia="仿宋" w:cs="仿宋"/>
                <w:bCs/>
                <w:color w:val="000000"/>
                <w:kern w:val="0"/>
                <w:sz w:val="22"/>
                <w:szCs w:val="22"/>
                <w:highlight w:val="none"/>
                <w:lang w:val="en-US" w:eastAsia="zh-CN" w:bidi="ar-SA"/>
              </w:rPr>
            </w:pPr>
            <w:r>
              <w:rPr>
                <w:rFonts w:hint="default" w:ascii="仿宋" w:hAnsi="仿宋" w:eastAsia="仿宋" w:cs="仿宋"/>
                <w:bCs/>
                <w:color w:val="000000"/>
                <w:kern w:val="0"/>
                <w:sz w:val="22"/>
                <w:szCs w:val="22"/>
                <w:highlight w:val="none"/>
                <w:lang w:val="en-US" w:eastAsia="zh-CN" w:bidi="ar-SA"/>
              </w:rPr>
              <w:t>181.66</w:t>
            </w:r>
          </w:p>
        </w:tc>
        <w:tc>
          <w:tcPr>
            <w:tcW w:w="1732" w:type="dxa"/>
            <w:vAlign w:val="center"/>
          </w:tcPr>
          <w:p w14:paraId="681350A7">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default" w:ascii="仿宋" w:hAnsi="仿宋" w:eastAsia="仿宋" w:cs="仿宋"/>
                <w:bCs/>
                <w:color w:val="000000"/>
                <w:kern w:val="0"/>
                <w:sz w:val="22"/>
                <w:szCs w:val="22"/>
                <w:highlight w:val="none"/>
                <w:lang w:val="en-US" w:eastAsia="zh-CN" w:bidi="ar-SA"/>
              </w:rPr>
            </w:pPr>
            <w:r>
              <w:rPr>
                <w:rFonts w:hint="default" w:ascii="仿宋" w:hAnsi="仿宋" w:eastAsia="仿宋" w:cs="仿宋"/>
                <w:bCs/>
                <w:color w:val="000000"/>
                <w:kern w:val="0"/>
                <w:sz w:val="22"/>
                <w:szCs w:val="22"/>
                <w:highlight w:val="none"/>
                <w:lang w:val="en-US" w:eastAsia="zh-CN" w:bidi="ar-SA"/>
              </w:rPr>
              <w:t>98.66%</w:t>
            </w:r>
          </w:p>
        </w:tc>
      </w:tr>
      <w:tr w14:paraId="71FCF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54" w:type="pct"/>
            <w:vAlign w:val="center"/>
          </w:tcPr>
          <w:p w14:paraId="12B39EAA">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eastAsia" w:ascii="仿宋" w:hAnsi="仿宋" w:eastAsia="仿宋" w:cs="仿宋"/>
                <w:bCs/>
                <w:color w:val="000000"/>
                <w:kern w:val="0"/>
                <w:sz w:val="22"/>
                <w:szCs w:val="22"/>
                <w:highlight w:val="none"/>
                <w:lang w:val="en-US" w:eastAsia="zh-CN" w:bidi="ar-SA"/>
              </w:rPr>
            </w:pPr>
            <w:r>
              <w:rPr>
                <w:rFonts w:hint="eastAsia" w:ascii="仿宋" w:hAnsi="仿宋" w:eastAsia="仿宋" w:cs="仿宋"/>
                <w:bCs/>
                <w:color w:val="000000"/>
                <w:kern w:val="0"/>
                <w:sz w:val="22"/>
                <w:szCs w:val="22"/>
                <w:highlight w:val="none"/>
                <w:lang w:val="en-US" w:eastAsia="zh-CN" w:bidi="ar-SA"/>
              </w:rPr>
              <w:t>三、结余分配</w:t>
            </w:r>
          </w:p>
        </w:tc>
        <w:tc>
          <w:tcPr>
            <w:tcW w:w="797" w:type="pct"/>
            <w:vAlign w:val="center"/>
          </w:tcPr>
          <w:p w14:paraId="5218577F">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eastAsia" w:ascii="仿宋" w:hAnsi="仿宋" w:eastAsia="仿宋" w:cs="仿宋"/>
                <w:bCs/>
                <w:color w:val="000000"/>
                <w:kern w:val="0"/>
                <w:sz w:val="22"/>
                <w:szCs w:val="22"/>
                <w:highlight w:val="none"/>
                <w:lang w:val="en-US" w:eastAsia="zh-CN" w:bidi="ar-SA"/>
              </w:rPr>
            </w:pPr>
            <w:r>
              <w:rPr>
                <w:rFonts w:hint="eastAsia" w:ascii="仿宋" w:hAnsi="仿宋" w:eastAsia="仿宋" w:cs="仿宋"/>
                <w:bCs/>
                <w:color w:val="000000"/>
                <w:kern w:val="0"/>
                <w:sz w:val="22"/>
                <w:szCs w:val="22"/>
                <w:highlight w:val="none"/>
                <w:lang w:val="en-US" w:eastAsia="zh-CN" w:bidi="ar-SA"/>
              </w:rPr>
              <w:t>0</w:t>
            </w:r>
          </w:p>
        </w:tc>
        <w:tc>
          <w:tcPr>
            <w:tcW w:w="980" w:type="pct"/>
            <w:vAlign w:val="center"/>
          </w:tcPr>
          <w:p w14:paraId="2BAD8075">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eastAsia" w:ascii="仿宋" w:hAnsi="仿宋" w:eastAsia="仿宋" w:cs="仿宋"/>
                <w:bCs/>
                <w:color w:val="000000"/>
                <w:kern w:val="0"/>
                <w:sz w:val="22"/>
                <w:szCs w:val="22"/>
                <w:highlight w:val="none"/>
                <w:lang w:val="en-US" w:eastAsia="zh-CN" w:bidi="ar-SA"/>
              </w:rPr>
            </w:pPr>
            <w:r>
              <w:rPr>
                <w:rFonts w:hint="eastAsia" w:ascii="仿宋" w:hAnsi="仿宋" w:eastAsia="仿宋" w:cs="仿宋"/>
                <w:bCs/>
                <w:color w:val="000000"/>
                <w:kern w:val="0"/>
                <w:sz w:val="22"/>
                <w:szCs w:val="22"/>
                <w:highlight w:val="none"/>
                <w:lang w:val="en-US" w:eastAsia="zh-CN" w:bidi="ar-SA"/>
              </w:rPr>
              <w:t>0</w:t>
            </w:r>
          </w:p>
        </w:tc>
        <w:tc>
          <w:tcPr>
            <w:tcW w:w="1720" w:type="dxa"/>
            <w:vAlign w:val="center"/>
          </w:tcPr>
          <w:p w14:paraId="494AA85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Cs/>
                <w:color w:val="000000"/>
                <w:kern w:val="0"/>
                <w:sz w:val="22"/>
                <w:szCs w:val="22"/>
                <w:highlight w:val="none"/>
                <w:lang w:val="en-US" w:eastAsia="zh-CN" w:bidi="ar-SA"/>
              </w:rPr>
            </w:pPr>
            <w:r>
              <w:rPr>
                <w:rFonts w:hint="eastAsia" w:ascii="仿宋" w:hAnsi="仿宋" w:eastAsia="仿宋" w:cs="仿宋"/>
                <w:bCs/>
                <w:color w:val="000000"/>
                <w:kern w:val="0"/>
                <w:sz w:val="22"/>
                <w:szCs w:val="22"/>
                <w:highlight w:val="none"/>
                <w:lang w:val="en-US" w:eastAsia="zh-CN" w:bidi="ar-SA"/>
              </w:rPr>
              <w:t>0</w:t>
            </w:r>
          </w:p>
        </w:tc>
        <w:tc>
          <w:tcPr>
            <w:tcW w:w="1732" w:type="dxa"/>
            <w:vAlign w:val="center"/>
          </w:tcPr>
          <w:p w14:paraId="70DA134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Cs/>
                <w:color w:val="000000"/>
                <w:kern w:val="0"/>
                <w:sz w:val="22"/>
                <w:szCs w:val="22"/>
                <w:highlight w:val="none"/>
                <w:lang w:val="zh-CN" w:eastAsia="zh-CN" w:bidi="ar-SA"/>
              </w:rPr>
            </w:pPr>
            <w:r>
              <w:rPr>
                <w:rFonts w:hint="eastAsia" w:ascii="仿宋" w:hAnsi="仿宋" w:eastAsia="仿宋" w:cs="仿宋"/>
                <w:bCs/>
                <w:color w:val="000000"/>
                <w:kern w:val="0"/>
                <w:sz w:val="22"/>
                <w:szCs w:val="22"/>
                <w:highlight w:val="none"/>
                <w:lang w:val="en-US" w:eastAsia="zh-CN" w:bidi="ar-SA"/>
              </w:rPr>
              <w:t>0</w:t>
            </w:r>
          </w:p>
        </w:tc>
      </w:tr>
      <w:tr w14:paraId="39BAC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54" w:type="pct"/>
            <w:vAlign w:val="center"/>
          </w:tcPr>
          <w:p w14:paraId="2410CD00">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eastAsia" w:ascii="仿宋" w:hAnsi="仿宋" w:eastAsia="仿宋" w:cs="仿宋"/>
                <w:bCs/>
                <w:color w:val="000000"/>
                <w:kern w:val="0"/>
                <w:sz w:val="22"/>
                <w:szCs w:val="22"/>
                <w:highlight w:val="none"/>
                <w:lang w:val="zh-CN" w:eastAsia="zh-CN" w:bidi="ar-SA"/>
              </w:rPr>
            </w:pPr>
            <w:r>
              <w:rPr>
                <w:rFonts w:hint="eastAsia" w:ascii="仿宋" w:hAnsi="仿宋" w:eastAsia="仿宋" w:cs="仿宋"/>
                <w:bCs/>
                <w:color w:val="000000"/>
                <w:kern w:val="0"/>
                <w:sz w:val="22"/>
                <w:szCs w:val="22"/>
                <w:highlight w:val="none"/>
                <w:lang w:val="en-US" w:eastAsia="zh-CN" w:bidi="ar-SA"/>
              </w:rPr>
              <w:t>四、</w:t>
            </w:r>
            <w:r>
              <w:rPr>
                <w:rFonts w:hint="eastAsia" w:ascii="仿宋" w:hAnsi="仿宋" w:eastAsia="仿宋" w:cs="仿宋"/>
                <w:bCs/>
                <w:color w:val="000000"/>
                <w:kern w:val="0"/>
                <w:sz w:val="22"/>
                <w:szCs w:val="22"/>
                <w:highlight w:val="none"/>
                <w:lang w:val="zh-CN" w:eastAsia="zh-CN" w:bidi="ar-SA"/>
              </w:rPr>
              <w:t>年末结转和结余</w:t>
            </w:r>
          </w:p>
        </w:tc>
        <w:tc>
          <w:tcPr>
            <w:tcW w:w="797" w:type="pct"/>
            <w:vAlign w:val="center"/>
          </w:tcPr>
          <w:p w14:paraId="08689A76">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default" w:ascii="仿宋" w:hAnsi="仿宋" w:eastAsia="仿宋" w:cs="仿宋"/>
                <w:bCs/>
                <w:color w:val="000000"/>
                <w:kern w:val="0"/>
                <w:sz w:val="22"/>
                <w:szCs w:val="22"/>
                <w:highlight w:val="none"/>
                <w:lang w:val="en-US" w:eastAsia="zh-CN" w:bidi="ar-SA"/>
              </w:rPr>
            </w:pPr>
            <w:r>
              <w:rPr>
                <w:rFonts w:hint="eastAsia" w:ascii="仿宋" w:hAnsi="仿宋" w:eastAsia="仿宋" w:cs="仿宋"/>
                <w:bCs/>
                <w:color w:val="000000"/>
                <w:kern w:val="0"/>
                <w:sz w:val="22"/>
                <w:szCs w:val="22"/>
                <w:highlight w:val="none"/>
                <w:lang w:val="en-US" w:eastAsia="zh-CN" w:bidi="ar-SA"/>
              </w:rPr>
              <w:t>0</w:t>
            </w:r>
          </w:p>
        </w:tc>
        <w:tc>
          <w:tcPr>
            <w:tcW w:w="980" w:type="pct"/>
            <w:vAlign w:val="center"/>
          </w:tcPr>
          <w:p w14:paraId="546286A7">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eastAsia" w:ascii="仿宋" w:hAnsi="仿宋" w:eastAsia="仿宋" w:cs="仿宋"/>
                <w:bCs/>
                <w:color w:val="000000"/>
                <w:kern w:val="0"/>
                <w:sz w:val="22"/>
                <w:szCs w:val="22"/>
                <w:highlight w:val="none"/>
                <w:lang w:val="en-US" w:eastAsia="zh-CN" w:bidi="ar-SA"/>
              </w:rPr>
            </w:pPr>
            <w:r>
              <w:rPr>
                <w:rFonts w:hint="eastAsia" w:ascii="仿宋" w:hAnsi="仿宋" w:eastAsia="仿宋" w:cs="仿宋"/>
                <w:bCs/>
                <w:color w:val="000000"/>
                <w:kern w:val="0"/>
                <w:sz w:val="22"/>
                <w:szCs w:val="22"/>
                <w:highlight w:val="none"/>
                <w:lang w:val="en-US" w:eastAsia="zh-CN" w:bidi="ar-SA"/>
              </w:rPr>
              <w:t>0</w:t>
            </w:r>
          </w:p>
        </w:tc>
        <w:tc>
          <w:tcPr>
            <w:tcW w:w="1720" w:type="dxa"/>
            <w:vAlign w:val="center"/>
          </w:tcPr>
          <w:p w14:paraId="0F275B0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Cs/>
                <w:color w:val="000000"/>
                <w:kern w:val="0"/>
                <w:sz w:val="22"/>
                <w:szCs w:val="22"/>
                <w:highlight w:val="none"/>
                <w:lang w:val="en-US" w:eastAsia="zh-CN" w:bidi="ar-SA"/>
              </w:rPr>
            </w:pPr>
            <w:r>
              <w:rPr>
                <w:rFonts w:hint="eastAsia" w:ascii="仿宋" w:hAnsi="仿宋" w:eastAsia="仿宋" w:cs="仿宋"/>
                <w:bCs/>
                <w:color w:val="000000"/>
                <w:kern w:val="0"/>
                <w:sz w:val="22"/>
                <w:szCs w:val="22"/>
                <w:highlight w:val="none"/>
                <w:lang w:val="en-US" w:eastAsia="zh-CN" w:bidi="ar-SA"/>
              </w:rPr>
              <w:t>0</w:t>
            </w:r>
          </w:p>
        </w:tc>
        <w:tc>
          <w:tcPr>
            <w:tcW w:w="1732" w:type="dxa"/>
            <w:vAlign w:val="center"/>
          </w:tcPr>
          <w:p w14:paraId="6E6BD30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Cs/>
                <w:color w:val="000000"/>
                <w:kern w:val="0"/>
                <w:sz w:val="22"/>
                <w:szCs w:val="22"/>
                <w:highlight w:val="none"/>
                <w:lang w:val="zh-CN" w:eastAsia="zh-CN" w:bidi="ar-SA"/>
              </w:rPr>
            </w:pPr>
            <w:r>
              <w:rPr>
                <w:rFonts w:hint="eastAsia" w:ascii="仿宋" w:hAnsi="仿宋" w:eastAsia="仿宋" w:cs="仿宋"/>
                <w:bCs/>
                <w:color w:val="000000"/>
                <w:kern w:val="0"/>
                <w:sz w:val="22"/>
                <w:szCs w:val="22"/>
                <w:highlight w:val="none"/>
                <w:lang w:val="en-US" w:eastAsia="zh-CN" w:bidi="ar-SA"/>
              </w:rPr>
              <w:t>0</w:t>
            </w:r>
          </w:p>
        </w:tc>
      </w:tr>
      <w:tr w14:paraId="724F6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54" w:type="pct"/>
            <w:vAlign w:val="center"/>
          </w:tcPr>
          <w:p w14:paraId="6D77BB02">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default" w:ascii="仿宋" w:hAnsi="仿宋" w:eastAsia="仿宋" w:cs="仿宋"/>
                <w:b/>
                <w:bCs w:val="0"/>
                <w:color w:val="000000"/>
                <w:kern w:val="0"/>
                <w:sz w:val="22"/>
                <w:szCs w:val="22"/>
                <w:highlight w:val="none"/>
                <w:lang w:val="en-US" w:eastAsia="zh-CN" w:bidi="ar-SA"/>
              </w:rPr>
            </w:pPr>
            <w:r>
              <w:rPr>
                <w:rFonts w:hint="eastAsia" w:ascii="仿宋" w:hAnsi="仿宋" w:eastAsia="仿宋" w:cs="仿宋"/>
                <w:b/>
                <w:bCs w:val="0"/>
                <w:color w:val="000000"/>
                <w:kern w:val="0"/>
                <w:sz w:val="22"/>
                <w:szCs w:val="22"/>
                <w:highlight w:val="none"/>
                <w:lang w:val="en-US" w:eastAsia="zh-CN" w:bidi="ar-SA"/>
              </w:rPr>
              <w:t>合计</w:t>
            </w:r>
          </w:p>
        </w:tc>
        <w:tc>
          <w:tcPr>
            <w:tcW w:w="1380" w:type="dxa"/>
            <w:vAlign w:val="center"/>
          </w:tcPr>
          <w:p w14:paraId="35ADBB38">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default" w:ascii="仿宋" w:hAnsi="仿宋" w:eastAsia="仿宋" w:cs="仿宋"/>
                <w:b/>
                <w:bCs w:val="0"/>
                <w:color w:val="000000"/>
                <w:kern w:val="0"/>
                <w:sz w:val="22"/>
                <w:szCs w:val="22"/>
                <w:highlight w:val="none"/>
                <w:lang w:val="en-US" w:eastAsia="zh-CN" w:bidi="ar-SA"/>
              </w:rPr>
            </w:pPr>
            <w:r>
              <w:rPr>
                <w:rFonts w:hint="eastAsia" w:ascii="仿宋" w:hAnsi="仿宋" w:eastAsia="仿宋" w:cs="仿宋"/>
                <w:b/>
                <w:bCs w:val="0"/>
                <w:color w:val="000000"/>
                <w:kern w:val="0"/>
                <w:sz w:val="22"/>
                <w:szCs w:val="22"/>
                <w:highlight w:val="none"/>
                <w:lang w:val="en-US" w:eastAsia="zh-CN" w:bidi="ar-SA"/>
              </w:rPr>
              <w:t>337.21</w:t>
            </w:r>
          </w:p>
        </w:tc>
        <w:tc>
          <w:tcPr>
            <w:tcW w:w="1697" w:type="dxa"/>
            <w:vAlign w:val="center"/>
          </w:tcPr>
          <w:p w14:paraId="079C7B1F">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default" w:ascii="仿宋" w:hAnsi="仿宋" w:eastAsia="仿宋" w:cs="仿宋"/>
                <w:b/>
                <w:bCs w:val="0"/>
                <w:color w:val="000000"/>
                <w:kern w:val="0"/>
                <w:sz w:val="22"/>
                <w:szCs w:val="22"/>
                <w:highlight w:val="none"/>
                <w:lang w:val="en-US" w:eastAsia="zh-CN" w:bidi="ar-SA"/>
              </w:rPr>
            </w:pPr>
            <w:r>
              <w:rPr>
                <w:rFonts w:hint="eastAsia" w:ascii="仿宋" w:hAnsi="仿宋" w:eastAsia="仿宋" w:cs="仿宋"/>
                <w:b/>
                <w:bCs w:val="0"/>
                <w:color w:val="000000"/>
                <w:kern w:val="0"/>
                <w:sz w:val="22"/>
                <w:szCs w:val="22"/>
                <w:highlight w:val="none"/>
                <w:lang w:val="en-US" w:eastAsia="zh-CN" w:bidi="ar-SA"/>
              </w:rPr>
              <w:t>429.36</w:t>
            </w:r>
          </w:p>
        </w:tc>
        <w:tc>
          <w:tcPr>
            <w:tcW w:w="1697" w:type="dxa"/>
            <w:vAlign w:val="center"/>
          </w:tcPr>
          <w:p w14:paraId="0738E67B">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default" w:ascii="仿宋" w:hAnsi="仿宋" w:eastAsia="仿宋" w:cs="仿宋"/>
                <w:b/>
                <w:bCs w:val="0"/>
                <w:color w:val="000000"/>
                <w:kern w:val="0"/>
                <w:sz w:val="22"/>
                <w:szCs w:val="22"/>
                <w:highlight w:val="none"/>
                <w:lang w:val="en-US" w:eastAsia="zh-CN" w:bidi="ar-SA"/>
              </w:rPr>
            </w:pPr>
            <w:r>
              <w:rPr>
                <w:rFonts w:hint="eastAsia" w:ascii="仿宋" w:hAnsi="仿宋" w:eastAsia="仿宋" w:cs="仿宋"/>
                <w:b/>
                <w:bCs w:val="0"/>
                <w:color w:val="000000"/>
                <w:kern w:val="0"/>
                <w:sz w:val="22"/>
                <w:szCs w:val="22"/>
                <w:highlight w:val="none"/>
                <w:lang w:val="en-US" w:eastAsia="zh-CN" w:bidi="ar-SA"/>
              </w:rPr>
              <w:t>420.16</w:t>
            </w:r>
          </w:p>
        </w:tc>
        <w:tc>
          <w:tcPr>
            <w:tcW w:w="987" w:type="pct"/>
            <w:vAlign w:val="center"/>
          </w:tcPr>
          <w:p w14:paraId="6A946123">
            <w:pPr>
              <w:keepNext w:val="0"/>
              <w:keepLines w:val="0"/>
              <w:widowControl/>
              <w:suppressLineNumbers w:val="0"/>
              <w:pBdr>
                <w:between w:val="single" w:color="auto" w:sz="4" w:space="1"/>
              </w:pBdr>
              <w:spacing w:before="0" w:beforeAutospacing="0" w:after="0" w:afterAutospacing="0" w:line="320" w:lineRule="exact"/>
              <w:ind w:left="0" w:right="0" w:firstLine="0" w:firstLineChars="0"/>
              <w:jc w:val="center"/>
              <w:rPr>
                <w:rFonts w:hint="default" w:ascii="仿宋" w:hAnsi="仿宋" w:eastAsia="仿宋" w:cs="仿宋"/>
                <w:b/>
                <w:bCs w:val="0"/>
                <w:color w:val="000000"/>
                <w:kern w:val="0"/>
                <w:sz w:val="22"/>
                <w:szCs w:val="22"/>
                <w:highlight w:val="none"/>
                <w:lang w:val="en-US" w:eastAsia="zh-CN" w:bidi="ar-SA"/>
              </w:rPr>
            </w:pPr>
            <w:r>
              <w:rPr>
                <w:rFonts w:hint="eastAsia" w:ascii="仿宋" w:hAnsi="仿宋" w:eastAsia="仿宋" w:cs="仿宋"/>
                <w:b/>
                <w:bCs w:val="0"/>
                <w:color w:val="000000"/>
                <w:kern w:val="0"/>
                <w:sz w:val="22"/>
                <w:szCs w:val="22"/>
                <w:highlight w:val="none"/>
                <w:lang w:val="en-US" w:eastAsia="zh-CN" w:bidi="ar-SA"/>
              </w:rPr>
              <w:t>97.86%</w:t>
            </w:r>
          </w:p>
        </w:tc>
      </w:tr>
    </w:tbl>
    <w:p w14:paraId="6C31FDC9">
      <w:pPr>
        <w:widowControl w:val="0"/>
        <w:spacing w:line="600" w:lineRule="exact"/>
        <w:ind w:firstLine="640" w:firstLineChars="200"/>
        <w:jc w:val="both"/>
        <w:rPr>
          <w:rFonts w:hint="eastAsia" w:ascii="Times New Roman" w:hAnsi="Times New Roman" w:eastAsia="仿宋_GB2312" w:cs="Times New Roman"/>
          <w:color w:val="000000" w:themeColor="text1"/>
          <w:kern w:val="0"/>
          <w:sz w:val="32"/>
          <w:szCs w:val="2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32"/>
          <w:szCs w:val="28"/>
          <w:highlight w:val="none"/>
          <w:lang w:val="en-US" w:eastAsia="zh-CN" w:bidi="ar-SA"/>
          <w14:textFill>
            <w14:solidFill>
              <w14:schemeClr w14:val="tx1"/>
            </w14:solidFill>
          </w14:textFill>
        </w:rPr>
        <w:t>2.项目支出情况</w:t>
      </w:r>
    </w:p>
    <w:p w14:paraId="1FA6DC43">
      <w:pPr>
        <w:widowControl w:val="0"/>
        <w:spacing w:line="600" w:lineRule="exact"/>
        <w:ind w:firstLine="640" w:firstLineChars="200"/>
        <w:jc w:val="both"/>
        <w:rPr>
          <w:rFonts w:hint="default" w:ascii="Times New Roman" w:hAnsi="Times New Roman" w:eastAsia="仿宋_GB2312" w:cs="Times New Roman"/>
          <w:color w:val="000000" w:themeColor="text1"/>
          <w:kern w:val="0"/>
          <w:sz w:val="32"/>
          <w:szCs w:val="28"/>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32"/>
          <w:szCs w:val="28"/>
          <w:highlight w:val="none"/>
          <w:lang w:val="en-US" w:eastAsia="zh-CN" w:bidi="ar-SA"/>
          <w14:textFill>
            <w14:solidFill>
              <w14:schemeClr w14:val="tx1"/>
            </w14:solidFill>
          </w14:textFill>
        </w:rPr>
        <w:t>2023年度，市文联项目调整后预算数为184.13万元，实际支出181.66万元，预算执行率98.66%。项目预算执行情况见表2-3。</w:t>
      </w:r>
    </w:p>
    <w:p w14:paraId="30D3E103">
      <w:pPr>
        <w:pStyle w:val="3"/>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28"/>
          <w:szCs w:val="28"/>
          <w:highlight w:val="none"/>
          <w:lang w:val="en-US" w:eastAsia="zh-CN"/>
        </w:rPr>
        <w:t>表2-3项目支出情况表</w:t>
      </w:r>
    </w:p>
    <w:p w14:paraId="19DE188D">
      <w:pPr>
        <w:pStyle w:val="3"/>
        <w:jc w:val="righ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单位：万元</w:t>
      </w:r>
    </w:p>
    <w:tbl>
      <w:tblPr>
        <w:tblStyle w:val="22"/>
        <w:tblW w:w="518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8"/>
        <w:gridCol w:w="4836"/>
        <w:gridCol w:w="1542"/>
        <w:gridCol w:w="883"/>
        <w:gridCol w:w="918"/>
      </w:tblGrid>
      <w:tr w14:paraId="2D896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778C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序号</w:t>
            </w:r>
          </w:p>
        </w:tc>
        <w:tc>
          <w:tcPr>
            <w:tcW w:w="27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0D94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项目名称</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7183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调整后预算数</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D16A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决算数</w:t>
            </w:r>
          </w:p>
        </w:tc>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F89D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执行率</w:t>
            </w:r>
          </w:p>
        </w:tc>
      </w:tr>
      <w:tr w14:paraId="0203D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671C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w:t>
            </w:r>
          </w:p>
        </w:tc>
        <w:tc>
          <w:tcPr>
            <w:tcW w:w="27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E10A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宣传及媒体融合资金</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7EA0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15</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AE76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15</w:t>
            </w:r>
          </w:p>
        </w:tc>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A72D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100%</w:t>
            </w:r>
          </w:p>
        </w:tc>
      </w:tr>
      <w:tr w14:paraId="0CBFA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599E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w:t>
            </w:r>
          </w:p>
        </w:tc>
        <w:tc>
          <w:tcPr>
            <w:tcW w:w="27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D7FC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《川中文学》《遂宁诗词》办刊经费</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434C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38</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B264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37.13</w:t>
            </w:r>
          </w:p>
        </w:tc>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C60E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97.71%</w:t>
            </w:r>
          </w:p>
        </w:tc>
      </w:tr>
      <w:tr w14:paraId="6E5C4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9E7B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w:t>
            </w:r>
          </w:p>
        </w:tc>
        <w:tc>
          <w:tcPr>
            <w:tcW w:w="27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2B46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兑现《遂潼宣传思想文化一体化发展合作协议》</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E19C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18</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FD08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18</w:t>
            </w:r>
          </w:p>
        </w:tc>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0D82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100%</w:t>
            </w:r>
          </w:p>
        </w:tc>
      </w:tr>
      <w:tr w14:paraId="3FFB8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1CB6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w:t>
            </w:r>
          </w:p>
        </w:tc>
        <w:tc>
          <w:tcPr>
            <w:tcW w:w="27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28D0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市级文艺家协会（学会、研究会）活动经费</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C9AC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64.46</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F680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64.46</w:t>
            </w:r>
          </w:p>
        </w:tc>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B09D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100%</w:t>
            </w:r>
          </w:p>
        </w:tc>
      </w:tr>
      <w:tr w14:paraId="397DD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BA9E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5</w:t>
            </w:r>
          </w:p>
        </w:tc>
        <w:tc>
          <w:tcPr>
            <w:tcW w:w="27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2A87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文艺宣传及送文化到基层经费</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3761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19</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302D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18.91</w:t>
            </w:r>
          </w:p>
        </w:tc>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3A2E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100%</w:t>
            </w:r>
          </w:p>
        </w:tc>
      </w:tr>
      <w:tr w14:paraId="30DE6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12E6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6</w:t>
            </w:r>
          </w:p>
        </w:tc>
        <w:tc>
          <w:tcPr>
            <w:tcW w:w="27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867D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文化和旅游发展资金</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1D59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29.67</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5DEC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28.17</w:t>
            </w:r>
          </w:p>
        </w:tc>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9BF4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94.94%</w:t>
            </w:r>
          </w:p>
        </w:tc>
      </w:tr>
      <w:tr w14:paraId="0A0BB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06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6A51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合计</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4E85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184.13</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8C41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181.66</w:t>
            </w:r>
          </w:p>
        </w:tc>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7963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98.66%</w:t>
            </w:r>
          </w:p>
        </w:tc>
      </w:tr>
    </w:tbl>
    <w:p w14:paraId="2C225BEC">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highlight w:val="none"/>
          <w:lang w:val="en-US" w:eastAsia="zh-CN"/>
        </w:rPr>
      </w:pPr>
      <w:bookmarkStart w:id="13" w:name="_Toc31102"/>
      <w:r>
        <w:rPr>
          <w:rFonts w:hint="eastAsia"/>
          <w:highlight w:val="none"/>
          <w:lang w:val="en-US" w:eastAsia="zh-CN"/>
        </w:rPr>
        <w:t>三、重点履职绩效分析</w:t>
      </w:r>
      <w:bookmarkEnd w:id="13"/>
    </w:p>
    <w:p w14:paraId="34303516">
      <w:pPr>
        <w:pStyle w:val="4"/>
        <w:keepNext/>
        <w:keepLines/>
        <w:pageBreakBefore w:val="0"/>
        <w:widowControl w:val="0"/>
        <w:numPr>
          <w:ilvl w:val="1"/>
          <w:numId w:val="0"/>
        </w:numPr>
        <w:kinsoku/>
        <w:wordWrap/>
        <w:overflowPunct/>
        <w:topLinePunct w:val="0"/>
        <w:autoSpaceDE/>
        <w:autoSpaceDN/>
        <w:bidi w:val="0"/>
        <w:adjustRightInd w:val="0"/>
        <w:snapToGrid/>
        <w:ind w:leftChars="200"/>
        <w:textAlignment w:val="auto"/>
        <w:rPr>
          <w:rFonts w:hint="eastAsia"/>
          <w:highlight w:val="none"/>
          <w:lang w:val="en-US" w:eastAsia="zh-CN"/>
        </w:rPr>
      </w:pPr>
      <w:bookmarkStart w:id="14" w:name="_Toc24445"/>
      <w:r>
        <w:rPr>
          <w:rFonts w:hint="eastAsia"/>
          <w:highlight w:val="none"/>
          <w:lang w:val="en-US" w:eastAsia="zh-CN"/>
        </w:rPr>
        <w:t>（一）文艺工作增强</w:t>
      </w:r>
      <w:bookmarkEnd w:id="14"/>
    </w:p>
    <w:p w14:paraId="71028E26">
      <w:pPr>
        <w:pStyle w:val="3"/>
        <w:rPr>
          <w:rFonts w:hint="eastAsia"/>
          <w:highlight w:val="none"/>
          <w:lang w:val="en-US" w:eastAsia="zh-CN"/>
        </w:rPr>
      </w:pPr>
      <w:r>
        <w:rPr>
          <w:rFonts w:hint="eastAsia"/>
          <w:highlight w:val="none"/>
          <w:lang w:val="en-US" w:eastAsia="zh-CN"/>
        </w:rPr>
        <w:t>一是加强文联党的建设。完善党组议事规则，全年召开党组会议8次，并将政治理论学习、法治学习列为第一议题；组织开展12次主题党日活动，召开12次支部党员会议；各联合党支部、党小组全年共开展党建活动20余次。二是加强理论武装工作。举行习近平文化思想专题学习会、书记讲党课等理论学习。三是严守意识形态安全。召开全市文联系统意识形态工作会；积极开展论坛活动专项清理整治工作。四是加强党风廉政建设。坚持纪检组列席党组会议制度，强化纪检监督；半年召开一次党风廉政建设工作会，提高文联机关和市级协会廉洁自律意识，全年文联系统无违纪违法现象发生。</w:t>
      </w:r>
    </w:p>
    <w:p w14:paraId="3AA52B50">
      <w:pPr>
        <w:pStyle w:val="4"/>
        <w:keepNext/>
        <w:keepLines/>
        <w:pageBreakBefore w:val="0"/>
        <w:widowControl w:val="0"/>
        <w:numPr>
          <w:ilvl w:val="1"/>
          <w:numId w:val="0"/>
        </w:numPr>
        <w:kinsoku/>
        <w:wordWrap/>
        <w:overflowPunct/>
        <w:topLinePunct w:val="0"/>
        <w:autoSpaceDE/>
        <w:autoSpaceDN/>
        <w:bidi w:val="0"/>
        <w:adjustRightInd w:val="0"/>
        <w:snapToGrid/>
        <w:ind w:leftChars="200"/>
        <w:textAlignment w:val="auto"/>
        <w:rPr>
          <w:rFonts w:hint="eastAsia"/>
          <w:highlight w:val="none"/>
          <w:lang w:val="en-US" w:eastAsia="zh-CN"/>
        </w:rPr>
      </w:pPr>
      <w:bookmarkStart w:id="15" w:name="_Toc27773"/>
      <w:r>
        <w:rPr>
          <w:rFonts w:hint="eastAsia"/>
          <w:highlight w:val="none"/>
          <w:lang w:val="en-US" w:eastAsia="zh-CN"/>
        </w:rPr>
        <w:t>（二）开展文艺活动</w:t>
      </w:r>
      <w:bookmarkEnd w:id="15"/>
    </w:p>
    <w:p w14:paraId="5EC75B7E">
      <w:pPr>
        <w:pStyle w:val="3"/>
        <w:rPr>
          <w:rFonts w:hint="eastAsia"/>
          <w:highlight w:val="none"/>
          <w:lang w:val="en-US" w:eastAsia="zh-CN"/>
        </w:rPr>
      </w:pPr>
      <w:r>
        <w:rPr>
          <w:rFonts w:hint="eastAsia"/>
          <w:highlight w:val="none"/>
          <w:lang w:val="en-US" w:eastAsia="zh-CN"/>
        </w:rPr>
        <w:t>一是首创活动实现满堂彩。由遂宁发起、川渝两地音协承办的首届川渝“巴蜀杯”声乐大赛吸引500余名参赛者，网络关注度达100万条次以上。射洪市在省内率先召开了文艺发展大会。二是承办活动圆满成功。承办了第四届“技炫巴蜀”川渝杂技魔术展演、“成渝地·巴蜀情”川渝乐翻天戏剧曲艺交流展演、全国首届“卓筒井杯”书法篆刻大赛、中国诗词春晚、四川省书法篆刻新人新作展、四川首届“宜居宜业和美乡村”主题乡村春晚，“寻梦时空—2023年省杂协魔术进校园”演出等国、省文艺活动10余个。三是对外文化交流逐步向好。在蓬溪县举办的“2023国际女书法家蓬溪雅集”系列活动，来自韩国、马来西亚、印尼、新加坡、匈牙利等国家以及国内书法家200余人参加。遂宁市杂技团在北京先后为俄罗斯、巴基斯坦等外宾专场演出5场，春苗杂技团在疫情后首次开启赴美国、法国、意大利等国演出。四是本土活动多姿多彩。开展“我们的中国梦·文化进万家”2023年文艺志愿服务活动 10场次，举办遂宁市“青荷杯”少儿舞蹈展演、遂宁市第二届中小学生网络书法展，打造了“遂艺宣”“墨彩船山”“文润洪城•艺心向党”“大地欢歌”等文艺志愿服务品牌，各文艺协会开展了“我眼中的新遂宁”系列文艺志愿服务活动100余场次。</w:t>
      </w:r>
    </w:p>
    <w:p w14:paraId="1DEA171D">
      <w:pPr>
        <w:pStyle w:val="4"/>
        <w:keepNext/>
        <w:keepLines/>
        <w:pageBreakBefore w:val="0"/>
        <w:widowControl w:val="0"/>
        <w:numPr>
          <w:ilvl w:val="1"/>
          <w:numId w:val="0"/>
        </w:numPr>
        <w:kinsoku/>
        <w:wordWrap/>
        <w:overflowPunct/>
        <w:topLinePunct w:val="0"/>
        <w:autoSpaceDE/>
        <w:autoSpaceDN/>
        <w:bidi w:val="0"/>
        <w:adjustRightInd w:val="0"/>
        <w:snapToGrid/>
        <w:ind w:leftChars="200"/>
        <w:textAlignment w:val="auto"/>
        <w:rPr>
          <w:rFonts w:hint="eastAsia"/>
          <w:highlight w:val="none"/>
          <w:lang w:val="en-US" w:eastAsia="zh-CN"/>
        </w:rPr>
      </w:pPr>
      <w:bookmarkStart w:id="16" w:name="_Toc29555"/>
      <w:r>
        <w:rPr>
          <w:rFonts w:hint="eastAsia"/>
          <w:highlight w:val="none"/>
          <w:lang w:val="en-US" w:eastAsia="zh-CN"/>
        </w:rPr>
        <w:t>（三）创作文艺精品</w:t>
      </w:r>
      <w:bookmarkEnd w:id="16"/>
    </w:p>
    <w:p w14:paraId="14E98051">
      <w:pPr>
        <w:pStyle w:val="3"/>
        <w:rPr>
          <w:rFonts w:hint="eastAsia"/>
          <w:highlight w:val="none"/>
          <w:lang w:val="en-US" w:eastAsia="zh-CN"/>
        </w:rPr>
      </w:pPr>
      <w:r>
        <w:rPr>
          <w:rFonts w:hint="eastAsia"/>
          <w:highlight w:val="none"/>
          <w:lang w:val="en-US" w:eastAsia="zh-CN"/>
        </w:rPr>
        <w:t>一是文艺获奖有新突破。川剧《青山依旧在》获第五届四川文华奖编剧奖、全省百佳推优作品，传统大幕戏《铡美案》获全省首届川剧汇演优秀剧目二等奖；曲剧《卓筒小井》获第五届四川文华奖音乐奖。短篇小说《背后》入围第二十届“百花文学奖”，胡亮诗评《相异的南方：四川五君诗作细读》获得第十一届扬子江诗学奖诗评奖，长篇小说《啼血的杜鹃》获今古传奇全国优秀长篇大书奖一等奖；2人获《剑南文学》2023年四川青年作家“文曲星奖”。2件书法作品入选第八届全国画院美术作品展览，6件作品入选全省第十届新人新作展，12件作品在四川省第二届青少年书画传习大会获奖，2件作品在省第四届妇女书法篆刻作品展获奖。7幅作品入选第三届四川艺术节四川文华奖美术奖优秀作品展；摄影作品《非遗夏氏风车》获四川省第二十届摄影大会金奖，《川剧惠民“闹”新春》获得“经济日报”春节七天乐全国新闻摄影大赛组照金奖，《遂宁遭遇特大高温天气》获四川省新闻奖三等奖。二是文艺扶持有新突破。杂技剧《出彩中国》获省文联2023年度重点文艺创作项目扶持；射洪市“欢乐喜庆颂党恩”文学志愿活动入选中国作协志愿服务示范性重点扶持项目；射洪市杂技马戏非遗展演培训基地项目入选四川省文化产业发展项目库；陈刚等4名书法家的5件书法作品荣获省政府精品奖励；汤中骥等8名作家获省作协会员重要文学报刊发表成果补贴。三是队伍建设有新突破。选送4名书法骨干参加中国国家画院一年制系统培训；先后举办冲刺国省展书法培训班等培训班6次，参加人员300人次，比去年同期增长20％。遂宁市新增国家级会员8人，新增省级会员22人。</w:t>
      </w:r>
    </w:p>
    <w:p w14:paraId="2FED3F09">
      <w:pPr>
        <w:pStyle w:val="4"/>
        <w:keepNext/>
        <w:keepLines/>
        <w:pageBreakBefore w:val="0"/>
        <w:widowControl w:val="0"/>
        <w:numPr>
          <w:ilvl w:val="1"/>
          <w:numId w:val="0"/>
        </w:numPr>
        <w:kinsoku/>
        <w:wordWrap/>
        <w:overflowPunct/>
        <w:topLinePunct w:val="0"/>
        <w:autoSpaceDE/>
        <w:autoSpaceDN/>
        <w:bidi w:val="0"/>
        <w:adjustRightInd w:val="0"/>
        <w:snapToGrid/>
        <w:ind w:leftChars="200"/>
        <w:textAlignment w:val="auto"/>
        <w:rPr>
          <w:rFonts w:hint="eastAsia"/>
          <w:highlight w:val="none"/>
          <w:lang w:val="en-US" w:eastAsia="zh-CN"/>
        </w:rPr>
      </w:pPr>
      <w:bookmarkStart w:id="17" w:name="_Toc21471"/>
      <w:r>
        <w:rPr>
          <w:rFonts w:hint="eastAsia"/>
          <w:highlight w:val="none"/>
          <w:lang w:val="en-US" w:eastAsia="zh-CN"/>
        </w:rPr>
        <w:t>（四）夯实创新发展根基</w:t>
      </w:r>
      <w:bookmarkEnd w:id="17"/>
    </w:p>
    <w:p w14:paraId="0E2DAD17">
      <w:pPr>
        <w:pStyle w:val="3"/>
        <w:rPr>
          <w:highlight w:val="none"/>
        </w:rPr>
      </w:pPr>
      <w:r>
        <w:rPr>
          <w:rFonts w:hint="eastAsia"/>
          <w:highlight w:val="none"/>
          <w:lang w:val="en-US" w:eastAsia="zh-CN"/>
        </w:rPr>
        <w:t>一是提升城市文化名片影响力。迎接并通过“中国曲艺之乡”调研复核；连续两年举办“遂宁市传统曲艺百人计划”培训班，系统培训清音、相声、扬琴、道琴等曲艺人才近200名；创作清音《水都消息》、曲剧《卓筒小井》、快板《幺妹开讲二十大》等20余件脍炙人口的曲艺作品；遂宁清音皇后卢国珍被聘为省曲协顾问。发挥“中国书法之乡”带头示范作用，通过竞写校牌、举办雅集活动、建设书法长廊书法展等多种形式推进“中国书法·遂宁表达”走深走实。提升“陈子昂国际诗歌周”品牌力，举办了“我为陈子昂代言诗歌朗诵”、子昂雅集等系列活动。二是实施项目管理激发协会活力。根据协会开展活动的成效和社会影响力给予资金补助。三是探索多方合作建设文艺阵地。市书协与河东新区，建设集培训、创作、展览于一体的临仙阁书法基地；市硬笔书协利用社区文化室建设协会活动场地；安居区与知名书法家合作建设来德美术馆；北辰公司独资建立遂宁第一家民间美术馆——三月美术馆。四是强化交流合作共发展。与重庆市永川区就书法艺术开展互访交流，与潼南区开展多门类艺术交流，与绵阳市共同开展涪江流域网上作品展等。</w:t>
      </w:r>
    </w:p>
    <w:p w14:paraId="7990AF84">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eastAsia="黑体"/>
          <w:highlight w:val="none"/>
          <w:lang w:val="en-US" w:eastAsia="zh-CN"/>
        </w:rPr>
      </w:pPr>
      <w:bookmarkStart w:id="18" w:name="_Toc5409"/>
      <w:r>
        <w:rPr>
          <w:rFonts w:hint="eastAsia"/>
          <w:highlight w:val="none"/>
          <w:lang w:val="en-US" w:eastAsia="zh-CN"/>
        </w:rPr>
        <w:t>四、</w:t>
      </w:r>
      <w:r>
        <w:rPr>
          <w:rFonts w:hint="eastAsia"/>
          <w:highlight w:val="none"/>
          <w:lang w:val="en-US" w:eastAsia="en-US"/>
        </w:rPr>
        <w:t>评价结论及</w:t>
      </w:r>
      <w:r>
        <w:rPr>
          <w:rFonts w:hint="eastAsia"/>
          <w:highlight w:val="none"/>
          <w:lang w:val="en-US" w:eastAsia="zh-CN"/>
        </w:rPr>
        <w:t>指标分析</w:t>
      </w:r>
      <w:bookmarkEnd w:id="18"/>
    </w:p>
    <w:p w14:paraId="596CA340">
      <w:pPr>
        <w:pStyle w:val="4"/>
        <w:keepNext/>
        <w:keepLines/>
        <w:pageBreakBefore w:val="0"/>
        <w:widowControl w:val="0"/>
        <w:numPr>
          <w:ilvl w:val="1"/>
          <w:numId w:val="0"/>
        </w:numPr>
        <w:kinsoku/>
        <w:wordWrap/>
        <w:overflowPunct/>
        <w:topLinePunct w:val="0"/>
        <w:autoSpaceDE/>
        <w:autoSpaceDN/>
        <w:bidi w:val="0"/>
        <w:adjustRightInd w:val="0"/>
        <w:snapToGrid/>
        <w:ind w:leftChars="200"/>
        <w:textAlignment w:val="auto"/>
        <w:rPr>
          <w:rFonts w:hint="eastAsia"/>
          <w:highlight w:val="none"/>
          <w:lang w:val="en-US" w:eastAsia="en-US"/>
        </w:rPr>
      </w:pPr>
      <w:bookmarkStart w:id="19" w:name="bookmark19"/>
      <w:bookmarkEnd w:id="19"/>
      <w:bookmarkStart w:id="20" w:name="_Toc8824"/>
      <w:r>
        <w:rPr>
          <w:rFonts w:hint="eastAsia"/>
          <w:highlight w:val="none"/>
          <w:lang w:val="en-US" w:eastAsia="en-US"/>
        </w:rPr>
        <w:t>（一）评价结论</w:t>
      </w:r>
      <w:bookmarkEnd w:id="20"/>
    </w:p>
    <w:p w14:paraId="7B7DDAFE">
      <w:pPr>
        <w:pStyle w:val="5"/>
        <w:pageBreakBefore w:val="0"/>
        <w:widowControl w:val="0"/>
        <w:numPr>
          <w:ilvl w:val="2"/>
          <w:numId w:val="0"/>
        </w:numPr>
        <w:kinsoku/>
        <w:wordWrap/>
        <w:overflowPunct/>
        <w:topLinePunct w:val="0"/>
        <w:autoSpaceDE/>
        <w:autoSpaceDN/>
        <w:bidi w:val="0"/>
        <w:snapToGrid/>
        <w:spacing w:before="0" w:after="0"/>
        <w:ind w:firstLine="640" w:firstLineChars="200"/>
        <w:textAlignment w:val="auto"/>
        <w:rPr>
          <w:rFonts w:hint="default"/>
          <w:highlight w:val="none"/>
          <w:lang w:val="en-US" w:eastAsia="zh-CN"/>
        </w:rPr>
      </w:pPr>
      <w:r>
        <w:rPr>
          <w:rFonts w:hint="eastAsia"/>
          <w:highlight w:val="none"/>
          <w:lang w:val="en-US" w:eastAsia="zh-CN"/>
        </w:rPr>
        <w:t>1.部门整体评价得分</w:t>
      </w:r>
    </w:p>
    <w:p w14:paraId="1A87137A">
      <w:pPr>
        <w:pStyle w:val="3"/>
        <w:rPr>
          <w:rFonts w:hint="eastAsia"/>
          <w:highlight w:val="none"/>
          <w:lang w:val="en-US" w:eastAsia="en-US"/>
        </w:rPr>
      </w:pPr>
      <w:r>
        <w:rPr>
          <w:rFonts w:hint="eastAsia"/>
          <w:highlight w:val="none"/>
          <w:lang w:val="en-US" w:eastAsia="zh-CN"/>
        </w:rPr>
        <w:t>遂宁市文学艺术界联合会</w:t>
      </w:r>
      <w:r>
        <w:rPr>
          <w:rFonts w:hint="eastAsia"/>
          <w:highlight w:val="none"/>
          <w:lang w:val="en-US" w:eastAsia="en-US"/>
        </w:rPr>
        <w:t>2023年度部门整体预算目标任务与部门职责、中长期规划相符，目标任务设置基本合理</w:t>
      </w:r>
      <w:r>
        <w:rPr>
          <w:rFonts w:hint="eastAsia"/>
          <w:highlight w:val="none"/>
          <w:lang w:val="en-US" w:eastAsia="zh-CN"/>
        </w:rPr>
        <w:t>，</w:t>
      </w:r>
      <w:r>
        <w:rPr>
          <w:rFonts w:hint="eastAsia"/>
          <w:highlight w:val="none"/>
          <w:lang w:val="en-US" w:eastAsia="en-US"/>
        </w:rPr>
        <w:t>预算测算依据充分，绩效目标科学合理性有待提升</w:t>
      </w:r>
      <w:r>
        <w:rPr>
          <w:rFonts w:hint="eastAsia"/>
          <w:highlight w:val="none"/>
          <w:lang w:val="en-US" w:eastAsia="zh-CN"/>
        </w:rPr>
        <w:t>，</w:t>
      </w:r>
      <w:r>
        <w:rPr>
          <w:rFonts w:hint="eastAsia"/>
          <w:highlight w:val="none"/>
          <w:lang w:val="en-US" w:eastAsia="en-US"/>
        </w:rPr>
        <w:t>重点工作任务基本完成</w:t>
      </w:r>
      <w:r>
        <w:rPr>
          <w:rFonts w:hint="eastAsia"/>
          <w:highlight w:val="none"/>
          <w:lang w:val="en-US" w:eastAsia="zh-CN"/>
        </w:rPr>
        <w:t>。</w:t>
      </w:r>
      <w:r>
        <w:rPr>
          <w:rFonts w:hint="eastAsia"/>
          <w:highlight w:val="none"/>
          <w:lang w:val="en-US" w:eastAsia="en-US"/>
        </w:rPr>
        <w:t>总得分为</w:t>
      </w:r>
      <w:r>
        <w:rPr>
          <w:rFonts w:hint="eastAsia"/>
          <w:highlight w:val="none"/>
          <w:lang w:val="en-US" w:eastAsia="zh-CN"/>
        </w:rPr>
        <w:t>92.2</w:t>
      </w:r>
      <w:r>
        <w:rPr>
          <w:rFonts w:hint="eastAsia"/>
          <w:highlight w:val="none"/>
          <w:lang w:val="en-US" w:eastAsia="en-US"/>
        </w:rPr>
        <w:t>分，评价得分简表如表</w:t>
      </w:r>
      <w:r>
        <w:rPr>
          <w:rFonts w:hint="eastAsia"/>
          <w:highlight w:val="none"/>
          <w:lang w:val="en-US" w:eastAsia="zh-CN"/>
        </w:rPr>
        <w:t>4</w:t>
      </w:r>
      <w:r>
        <w:rPr>
          <w:rFonts w:hint="eastAsia"/>
          <w:highlight w:val="none"/>
          <w:lang w:val="en-US" w:eastAsia="en-US"/>
        </w:rPr>
        <w:t>-1所示，指标体系详见附件。</w:t>
      </w:r>
    </w:p>
    <w:p w14:paraId="409FD05F">
      <w:pPr>
        <w:pStyle w:val="3"/>
        <w:ind w:left="0" w:leftChars="0" w:firstLine="0" w:firstLineChars="0"/>
        <w:jc w:val="both"/>
        <w:rPr>
          <w:rFonts w:hint="default" w:ascii="仿宋" w:hAnsi="仿宋" w:eastAsia="仿宋" w:cs="仿宋"/>
          <w:b/>
          <w:bCs/>
          <w:sz w:val="28"/>
          <w:szCs w:val="28"/>
          <w:highlight w:val="none"/>
          <w:lang w:val="en-US" w:eastAsia="en-US"/>
        </w:rPr>
      </w:pPr>
      <w:r>
        <w:rPr>
          <w:rFonts w:hint="default" w:ascii="仿宋" w:hAnsi="仿宋" w:eastAsia="仿宋" w:cs="仿宋"/>
          <w:b/>
          <w:bCs/>
          <w:sz w:val="28"/>
          <w:szCs w:val="28"/>
          <w:highlight w:val="none"/>
          <w:lang w:val="en-US" w:eastAsia="en-US"/>
        </w:rPr>
        <w:t>表</w:t>
      </w:r>
      <w:r>
        <w:rPr>
          <w:rFonts w:hint="eastAsia" w:ascii="仿宋" w:hAnsi="仿宋" w:eastAsia="仿宋" w:cs="仿宋"/>
          <w:b/>
          <w:bCs/>
          <w:sz w:val="28"/>
          <w:szCs w:val="28"/>
          <w:highlight w:val="none"/>
          <w:lang w:val="en-US" w:eastAsia="zh-CN"/>
        </w:rPr>
        <w:t>4</w:t>
      </w:r>
      <w:r>
        <w:rPr>
          <w:rFonts w:hint="default" w:ascii="仿宋" w:hAnsi="仿宋" w:eastAsia="仿宋" w:cs="仿宋"/>
          <w:b/>
          <w:bCs/>
          <w:sz w:val="28"/>
          <w:szCs w:val="28"/>
          <w:highlight w:val="none"/>
          <w:lang w:val="en-US" w:eastAsia="en-US"/>
        </w:rPr>
        <w:t>-1</w:t>
      </w:r>
      <w:r>
        <w:rPr>
          <w:rFonts w:hint="eastAsia" w:ascii="仿宋" w:hAnsi="仿宋" w:eastAsia="仿宋" w:cs="仿宋"/>
          <w:b/>
          <w:bCs/>
          <w:sz w:val="28"/>
          <w:szCs w:val="28"/>
          <w:highlight w:val="none"/>
          <w:lang w:val="en-US" w:eastAsia="zh-CN"/>
        </w:rPr>
        <w:t xml:space="preserve">  </w:t>
      </w:r>
      <w:r>
        <w:rPr>
          <w:rFonts w:hint="default" w:ascii="仿宋" w:hAnsi="仿宋" w:eastAsia="仿宋" w:cs="仿宋"/>
          <w:b/>
          <w:bCs/>
          <w:sz w:val="28"/>
          <w:szCs w:val="28"/>
          <w:highlight w:val="none"/>
          <w:lang w:val="en-US" w:eastAsia="en-US"/>
        </w:rPr>
        <w:t>202</w:t>
      </w:r>
      <w:r>
        <w:rPr>
          <w:rFonts w:hint="eastAsia" w:ascii="仿宋" w:hAnsi="仿宋" w:eastAsia="仿宋" w:cs="仿宋"/>
          <w:b/>
          <w:bCs/>
          <w:sz w:val="28"/>
          <w:szCs w:val="28"/>
          <w:highlight w:val="none"/>
          <w:lang w:val="en-US" w:eastAsia="zh-CN"/>
        </w:rPr>
        <w:t>3</w:t>
      </w:r>
      <w:r>
        <w:rPr>
          <w:rFonts w:hint="default" w:ascii="仿宋" w:hAnsi="仿宋" w:eastAsia="仿宋" w:cs="仿宋"/>
          <w:b/>
          <w:bCs/>
          <w:sz w:val="28"/>
          <w:szCs w:val="28"/>
          <w:highlight w:val="none"/>
          <w:lang w:val="en-US" w:eastAsia="en-US"/>
        </w:rPr>
        <w:t>年遂宁市文学艺术界联合会整体支出绩效得分情况表</w:t>
      </w:r>
    </w:p>
    <w:tbl>
      <w:tblPr>
        <w:tblStyle w:val="22"/>
        <w:tblW w:w="538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49"/>
        <w:gridCol w:w="1350"/>
        <w:gridCol w:w="1714"/>
        <w:gridCol w:w="1086"/>
        <w:gridCol w:w="847"/>
        <w:gridCol w:w="2837"/>
      </w:tblGrid>
      <w:tr w14:paraId="081EE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24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33869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绩效指标</w:t>
            </w:r>
          </w:p>
        </w:tc>
        <w:tc>
          <w:tcPr>
            <w:tcW w:w="5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803B2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0"/>
                <w:sz w:val="22"/>
                <w:szCs w:val="22"/>
                <w:highlight w:val="none"/>
                <w:u w:val="none"/>
                <w:lang w:val="en-US" w:eastAsia="zh-CN" w:bidi="ar"/>
              </w:rPr>
            </w:pPr>
            <w:r>
              <w:rPr>
                <w:rFonts w:hint="eastAsia" w:ascii="仿宋" w:hAnsi="仿宋" w:eastAsia="仿宋" w:cs="仿宋"/>
                <w:b/>
                <w:bCs/>
                <w:i w:val="0"/>
                <w:iCs w:val="0"/>
                <w:color w:val="000000"/>
                <w:kern w:val="0"/>
                <w:sz w:val="22"/>
                <w:szCs w:val="22"/>
                <w:highlight w:val="none"/>
                <w:u w:val="none"/>
                <w:lang w:val="en-US" w:eastAsia="zh-CN" w:bidi="ar"/>
              </w:rPr>
              <w:t>指标</w:t>
            </w:r>
          </w:p>
          <w:p w14:paraId="3B20405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分值</w:t>
            </w:r>
          </w:p>
        </w:tc>
        <w:tc>
          <w:tcPr>
            <w:tcW w:w="4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F11AE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得分</w:t>
            </w:r>
          </w:p>
        </w:tc>
        <w:tc>
          <w:tcPr>
            <w:tcW w:w="15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3B6DF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扣分原因</w:t>
            </w:r>
          </w:p>
        </w:tc>
      </w:tr>
      <w:tr w14:paraId="52286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7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DB18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一级指标</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A0B6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二级指标</w:t>
            </w: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A571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三级指标</w:t>
            </w:r>
          </w:p>
        </w:tc>
        <w:tc>
          <w:tcPr>
            <w:tcW w:w="5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9F9BCF">
            <w:pPr>
              <w:keepNext w:val="0"/>
              <w:keepLines w:val="0"/>
              <w:suppressLineNumbers w:val="0"/>
              <w:spacing w:before="0" w:beforeAutospacing="0" w:after="0" w:afterAutospacing="0"/>
              <w:ind w:left="0" w:right="0"/>
              <w:jc w:val="center"/>
              <w:rPr>
                <w:rFonts w:hint="eastAsia" w:ascii="仿宋" w:hAnsi="仿宋" w:eastAsia="仿宋" w:cs="仿宋"/>
                <w:b/>
                <w:bCs/>
                <w:i w:val="0"/>
                <w:iCs w:val="0"/>
                <w:color w:val="000000"/>
                <w:sz w:val="22"/>
                <w:szCs w:val="22"/>
                <w:highlight w:val="none"/>
                <w:u w:val="none"/>
              </w:rPr>
            </w:pP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16852F">
            <w:pPr>
              <w:keepNext w:val="0"/>
              <w:keepLines w:val="0"/>
              <w:suppressLineNumbers w:val="0"/>
              <w:spacing w:before="0" w:beforeAutospacing="0" w:after="0" w:afterAutospacing="0"/>
              <w:ind w:left="0" w:right="0"/>
              <w:jc w:val="center"/>
              <w:rPr>
                <w:rFonts w:hint="eastAsia" w:ascii="仿宋" w:hAnsi="仿宋" w:eastAsia="仿宋" w:cs="仿宋"/>
                <w:b/>
                <w:bCs/>
                <w:i w:val="0"/>
                <w:iCs w:val="0"/>
                <w:color w:val="000000"/>
                <w:sz w:val="22"/>
                <w:szCs w:val="22"/>
                <w:highlight w:val="none"/>
                <w:u w:val="none"/>
              </w:rPr>
            </w:pPr>
          </w:p>
        </w:tc>
        <w:tc>
          <w:tcPr>
            <w:tcW w:w="15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8A2E79">
            <w:pPr>
              <w:keepNext w:val="0"/>
              <w:keepLines w:val="0"/>
              <w:suppressLineNumbers w:val="0"/>
              <w:spacing w:before="0" w:beforeAutospacing="0" w:after="0" w:afterAutospacing="0"/>
              <w:ind w:left="0" w:right="0"/>
              <w:jc w:val="center"/>
              <w:rPr>
                <w:rFonts w:hint="eastAsia" w:ascii="仿宋" w:hAnsi="仿宋" w:eastAsia="仿宋" w:cs="仿宋"/>
                <w:b/>
                <w:bCs/>
                <w:i w:val="0"/>
                <w:iCs w:val="0"/>
                <w:color w:val="000000"/>
                <w:sz w:val="22"/>
                <w:szCs w:val="22"/>
                <w:highlight w:val="none"/>
                <w:u w:val="none"/>
              </w:rPr>
            </w:pPr>
          </w:p>
        </w:tc>
      </w:tr>
      <w:tr w14:paraId="2EDC5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7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141E2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部门预算管理（70分）</w:t>
            </w:r>
          </w:p>
        </w:tc>
        <w:tc>
          <w:tcPr>
            <w:tcW w:w="7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A59B2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预算编制（25分）</w:t>
            </w: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ADCF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目标制定</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DC34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99D6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w:t>
            </w:r>
          </w:p>
        </w:tc>
        <w:tc>
          <w:tcPr>
            <w:tcW w:w="1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0AEF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1、部门绩效目标的部分指标值未达到量化标准；</w:t>
            </w:r>
          </w:p>
          <w:p w14:paraId="52EF29F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2、项目的质量指标的指标内容与质量不相关，均为数量指标内容；</w:t>
            </w:r>
          </w:p>
          <w:p w14:paraId="2470183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3、市文联未将绩效目标纳入部门党组（委）会（办公会）集体决策范围。</w:t>
            </w:r>
          </w:p>
        </w:tc>
      </w:tr>
      <w:tr w14:paraId="31731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710B9">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c>
          <w:tcPr>
            <w:tcW w:w="7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D0D1C">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9D86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目标完成</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4892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15</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F21E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15</w:t>
            </w:r>
          </w:p>
        </w:tc>
        <w:tc>
          <w:tcPr>
            <w:tcW w:w="1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28F12">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r>
      <w:tr w14:paraId="369FE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1AFF0">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c>
          <w:tcPr>
            <w:tcW w:w="7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46FD1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预算执行（25分）</w:t>
            </w: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F283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支出控制</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017B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E2A8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w:t>
            </w:r>
          </w:p>
        </w:tc>
        <w:tc>
          <w:tcPr>
            <w:tcW w:w="1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07316">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r>
      <w:tr w14:paraId="074F4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FDF3F">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c>
          <w:tcPr>
            <w:tcW w:w="7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3F755">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E2A8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及时处置</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7ACA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5</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4409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5</w:t>
            </w:r>
          </w:p>
        </w:tc>
        <w:tc>
          <w:tcPr>
            <w:tcW w:w="1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B158D">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r>
      <w:tr w14:paraId="22726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363E3">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c>
          <w:tcPr>
            <w:tcW w:w="7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678E0">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737E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执行进度</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00DF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3828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8.58</w:t>
            </w:r>
          </w:p>
        </w:tc>
        <w:tc>
          <w:tcPr>
            <w:tcW w:w="1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14F1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部门2023年6月、9月、11月均未达到目标进度</w:t>
            </w:r>
          </w:p>
        </w:tc>
      </w:tr>
      <w:tr w14:paraId="4763D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7C80B">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c>
          <w:tcPr>
            <w:tcW w:w="7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4F788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完成结果（20分）</w:t>
            </w: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64EC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预算完成</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CDFD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5</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D24F9">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iCs w:val="0"/>
                <w:color w:val="000000"/>
                <w:sz w:val="22"/>
                <w:szCs w:val="22"/>
                <w:highlight w:val="none"/>
                <w:u w:val="none"/>
                <w:lang w:val="en-US"/>
              </w:rPr>
            </w:pPr>
            <w:r>
              <w:rPr>
                <w:rFonts w:hint="eastAsia" w:ascii="仿宋" w:hAnsi="仿宋" w:eastAsia="仿宋" w:cs="仿宋"/>
                <w:i w:val="0"/>
                <w:iCs w:val="0"/>
                <w:color w:val="000000"/>
                <w:kern w:val="0"/>
                <w:sz w:val="22"/>
                <w:szCs w:val="22"/>
                <w:highlight w:val="none"/>
                <w:u w:val="none"/>
                <w:lang w:val="en-US" w:eastAsia="zh-CN" w:bidi="ar"/>
              </w:rPr>
              <w:t>4.89</w:t>
            </w:r>
          </w:p>
        </w:tc>
        <w:tc>
          <w:tcPr>
            <w:tcW w:w="1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E91D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部门预算执行率为97.86%</w:t>
            </w:r>
          </w:p>
        </w:tc>
      </w:tr>
      <w:tr w14:paraId="0DA42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659E2E">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c>
          <w:tcPr>
            <w:tcW w:w="7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DD01B">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71FB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资金结余率</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AF24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9CD0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w:t>
            </w:r>
          </w:p>
        </w:tc>
        <w:tc>
          <w:tcPr>
            <w:tcW w:w="1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AFDA8">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r>
      <w:tr w14:paraId="36EA8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7F7C5">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c>
          <w:tcPr>
            <w:tcW w:w="7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AA1E5">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4EF1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违规记录</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1F25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5</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F9EE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5</w:t>
            </w:r>
          </w:p>
        </w:tc>
        <w:tc>
          <w:tcPr>
            <w:tcW w:w="1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2621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p>
        </w:tc>
      </w:tr>
      <w:tr w14:paraId="46138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 w:hRule="atLeast"/>
        </w:trPr>
        <w:tc>
          <w:tcPr>
            <w:tcW w:w="7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39C14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绩效结果应用（20分）</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E556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内部应用</w:t>
            </w:r>
          </w:p>
          <w:p w14:paraId="0AC6F3B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（6分）</w:t>
            </w: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3E9F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预算挂钩</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0488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6</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065F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6</w:t>
            </w:r>
          </w:p>
        </w:tc>
        <w:tc>
          <w:tcPr>
            <w:tcW w:w="1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D7BA7">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r>
      <w:tr w14:paraId="72039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95784">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c>
          <w:tcPr>
            <w:tcW w:w="735" w:type="pct"/>
            <w:tcBorders>
              <w:top w:val="nil"/>
              <w:left w:val="single" w:color="000000" w:sz="4" w:space="0"/>
              <w:bottom w:val="single" w:color="000000" w:sz="4" w:space="0"/>
              <w:right w:val="single" w:color="000000" w:sz="4" w:space="0"/>
            </w:tcBorders>
            <w:shd w:val="clear" w:color="auto" w:fill="auto"/>
            <w:vAlign w:val="center"/>
          </w:tcPr>
          <w:p w14:paraId="3472471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信息公开</w:t>
            </w:r>
          </w:p>
          <w:p w14:paraId="062192B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（4分)</w:t>
            </w: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BF26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自评公开</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48C0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FD7A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w:t>
            </w:r>
          </w:p>
        </w:tc>
        <w:tc>
          <w:tcPr>
            <w:tcW w:w="1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B1B5A">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r>
      <w:tr w14:paraId="31683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19240">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c>
          <w:tcPr>
            <w:tcW w:w="7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1F689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整改反馈</w:t>
            </w:r>
          </w:p>
          <w:p w14:paraId="142ED02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（10分）</w:t>
            </w: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758E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结果整改</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0AC5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6</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9296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6</w:t>
            </w:r>
          </w:p>
        </w:tc>
        <w:tc>
          <w:tcPr>
            <w:tcW w:w="1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CC4B0">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r>
      <w:tr w14:paraId="204FD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5FD6F4">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c>
          <w:tcPr>
            <w:tcW w:w="7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7A469">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0359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应用反馈</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371E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89C3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w:t>
            </w:r>
          </w:p>
        </w:tc>
        <w:tc>
          <w:tcPr>
            <w:tcW w:w="1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BD302">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r>
      <w:tr w14:paraId="3DD8C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734" w:type="pct"/>
            <w:tcBorders>
              <w:top w:val="single" w:color="000000" w:sz="4" w:space="0"/>
              <w:left w:val="single" w:color="000000" w:sz="4" w:space="0"/>
              <w:bottom w:val="single" w:color="000000" w:sz="4" w:space="0"/>
              <w:right w:val="nil"/>
            </w:tcBorders>
            <w:shd w:val="clear" w:color="auto" w:fill="auto"/>
            <w:vAlign w:val="center"/>
          </w:tcPr>
          <w:p w14:paraId="37933767">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自评质量（10分）</w:t>
            </w:r>
          </w:p>
        </w:tc>
        <w:tc>
          <w:tcPr>
            <w:tcW w:w="7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6C9D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自评质量（10分）</w:t>
            </w: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EF7B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自评准确</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8F8F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00B3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10</w:t>
            </w:r>
          </w:p>
        </w:tc>
        <w:tc>
          <w:tcPr>
            <w:tcW w:w="1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48EFC">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2"/>
                <w:szCs w:val="22"/>
                <w:highlight w:val="none"/>
                <w:u w:val="none"/>
              </w:rPr>
            </w:pPr>
          </w:p>
        </w:tc>
      </w:tr>
      <w:tr w14:paraId="580F8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240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B37B5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合计</w:t>
            </w:r>
          </w:p>
        </w:tc>
        <w:tc>
          <w:tcPr>
            <w:tcW w:w="5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9018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100</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3D58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92.2</w:t>
            </w:r>
          </w:p>
        </w:tc>
        <w:tc>
          <w:tcPr>
            <w:tcW w:w="1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B3BF0">
            <w:pPr>
              <w:keepNext w:val="0"/>
              <w:keepLines w:val="0"/>
              <w:suppressLineNumbers w:val="0"/>
              <w:spacing w:before="0" w:beforeAutospacing="0" w:after="0" w:afterAutospacing="0"/>
              <w:ind w:left="0" w:right="0"/>
              <w:jc w:val="center"/>
              <w:rPr>
                <w:rFonts w:hint="eastAsia" w:ascii="仿宋" w:hAnsi="仿宋" w:eastAsia="仿宋" w:cs="仿宋"/>
                <w:b/>
                <w:bCs/>
                <w:i w:val="0"/>
                <w:iCs w:val="0"/>
                <w:color w:val="000000"/>
                <w:sz w:val="22"/>
                <w:szCs w:val="22"/>
                <w:highlight w:val="none"/>
                <w:u w:val="none"/>
              </w:rPr>
            </w:pPr>
          </w:p>
        </w:tc>
      </w:tr>
    </w:tbl>
    <w:p w14:paraId="283BE64A">
      <w:pPr>
        <w:widowControl/>
        <w:kinsoku w:val="0"/>
        <w:autoSpaceDE w:val="0"/>
        <w:autoSpaceDN w:val="0"/>
        <w:adjustRightInd w:val="0"/>
        <w:snapToGrid w:val="0"/>
        <w:spacing w:line="128" w:lineRule="exact"/>
        <w:jc w:val="left"/>
        <w:textAlignment w:val="baseline"/>
        <w:rPr>
          <w:rFonts w:ascii="Arial" w:hAnsi="Arial" w:eastAsia="Arial" w:cs="Arial"/>
          <w:snapToGrid w:val="0"/>
          <w:color w:val="000000"/>
          <w:kern w:val="0"/>
          <w:highlight w:val="none"/>
          <w:lang w:eastAsia="en-US"/>
        </w:rPr>
      </w:pPr>
    </w:p>
    <w:p w14:paraId="0569FD3A">
      <w:pPr>
        <w:widowControl/>
        <w:kinsoku w:val="0"/>
        <w:autoSpaceDE w:val="0"/>
        <w:autoSpaceDN w:val="0"/>
        <w:adjustRightInd w:val="0"/>
        <w:snapToGrid w:val="0"/>
        <w:spacing w:line="91" w:lineRule="auto"/>
        <w:jc w:val="left"/>
        <w:textAlignment w:val="baseline"/>
        <w:rPr>
          <w:rFonts w:ascii="Arial" w:hAnsi="Arial" w:eastAsia="Arial" w:cs="Arial"/>
          <w:snapToGrid w:val="0"/>
          <w:color w:val="000000"/>
          <w:kern w:val="0"/>
          <w:sz w:val="2"/>
          <w:highlight w:val="none"/>
          <w:lang w:eastAsia="en-US"/>
        </w:rPr>
      </w:pPr>
    </w:p>
    <w:p w14:paraId="653323D3">
      <w:pPr>
        <w:pStyle w:val="5"/>
        <w:pageBreakBefore w:val="0"/>
        <w:widowControl w:val="0"/>
        <w:numPr>
          <w:ilvl w:val="2"/>
          <w:numId w:val="0"/>
        </w:numPr>
        <w:kinsoku/>
        <w:wordWrap/>
        <w:overflowPunct/>
        <w:topLinePunct w:val="0"/>
        <w:autoSpaceDE/>
        <w:autoSpaceDN/>
        <w:bidi w:val="0"/>
        <w:snapToGrid/>
        <w:spacing w:before="0" w:after="0"/>
        <w:ind w:firstLine="640" w:firstLineChars="200"/>
        <w:textAlignment w:val="auto"/>
        <w:rPr>
          <w:rFonts w:hint="eastAsia"/>
          <w:highlight w:val="none"/>
          <w:lang w:val="en-US" w:eastAsia="en-US"/>
        </w:rPr>
      </w:pPr>
      <w:r>
        <w:rPr>
          <w:rFonts w:hint="eastAsia"/>
          <w:highlight w:val="none"/>
          <w:lang w:val="en-US" w:eastAsia="zh-CN"/>
        </w:rPr>
        <w:t>2.</w:t>
      </w:r>
      <w:r>
        <w:rPr>
          <w:rFonts w:hint="eastAsia"/>
          <w:highlight w:val="none"/>
          <w:lang w:val="en-US" w:eastAsia="en-US"/>
        </w:rPr>
        <w:t>各项指标得分分析</w:t>
      </w:r>
    </w:p>
    <w:p w14:paraId="0E4DB665">
      <w:pPr>
        <w:pStyle w:val="5"/>
        <w:pageBreakBefore w:val="0"/>
        <w:widowControl w:val="0"/>
        <w:numPr>
          <w:ilvl w:val="2"/>
          <w:numId w:val="0"/>
        </w:numPr>
        <w:kinsoku/>
        <w:wordWrap/>
        <w:overflowPunct/>
        <w:topLinePunct w:val="0"/>
        <w:autoSpaceDE/>
        <w:autoSpaceDN/>
        <w:bidi w:val="0"/>
        <w:snapToGrid/>
        <w:spacing w:before="0" w:after="0"/>
        <w:ind w:firstLine="640" w:firstLineChars="200"/>
        <w:textAlignment w:val="auto"/>
        <w:rPr>
          <w:rFonts w:hint="eastAsia"/>
          <w:highlight w:val="none"/>
          <w:lang w:val="en-US" w:eastAsia="en-US"/>
        </w:rPr>
      </w:pPr>
      <w:r>
        <w:rPr>
          <w:rFonts w:hint="eastAsia"/>
          <w:highlight w:val="none"/>
          <w:lang w:val="en-US" w:eastAsia="en-US"/>
        </w:rPr>
        <w:t>（1）预算编制</w:t>
      </w:r>
    </w:p>
    <w:p w14:paraId="1BDBABB2">
      <w:pPr>
        <w:pStyle w:val="3"/>
        <w:rPr>
          <w:rFonts w:hint="eastAsia"/>
          <w:highlight w:val="none"/>
          <w:lang w:val="en-US" w:eastAsia="en-US"/>
        </w:rPr>
      </w:pPr>
      <w:r>
        <w:rPr>
          <w:rFonts w:hint="eastAsia"/>
          <w:b/>
          <w:bCs/>
          <w:highlight w:val="none"/>
          <w:lang w:val="en-US" w:eastAsia="zh-CN"/>
        </w:rPr>
        <w:t>目标制定质量待提升。</w:t>
      </w:r>
      <w:r>
        <w:rPr>
          <w:rFonts w:hint="eastAsia"/>
          <w:highlight w:val="none"/>
          <w:lang w:val="en-US" w:eastAsia="zh-CN"/>
        </w:rPr>
        <w:t>2023年市文联</w:t>
      </w:r>
      <w:r>
        <w:rPr>
          <w:rFonts w:hint="eastAsia"/>
          <w:highlight w:val="none"/>
          <w:lang w:val="en-US" w:eastAsia="en-US"/>
        </w:rPr>
        <w:t>按照市财政要求编制了“部门整体支出绩效目标表”以及项目的绩效目标表。经评价组核查部门整体支出绩效目标表，要素完整；绩效二级指标共1</w:t>
      </w:r>
      <w:r>
        <w:rPr>
          <w:rFonts w:hint="eastAsia"/>
          <w:highlight w:val="none"/>
          <w:lang w:val="en-US" w:eastAsia="zh-CN"/>
        </w:rPr>
        <w:t>1</w:t>
      </w:r>
      <w:r>
        <w:rPr>
          <w:rFonts w:hint="eastAsia"/>
          <w:highlight w:val="none"/>
          <w:lang w:val="en-US" w:eastAsia="en-US"/>
        </w:rPr>
        <w:t>项，但</w:t>
      </w:r>
      <w:r>
        <w:rPr>
          <w:rFonts w:hint="eastAsia"/>
          <w:highlight w:val="none"/>
          <w:lang w:val="en-US" w:eastAsia="zh-CN"/>
        </w:rPr>
        <w:t>部分</w:t>
      </w:r>
      <w:r>
        <w:rPr>
          <w:rFonts w:hint="eastAsia"/>
          <w:highlight w:val="none"/>
          <w:lang w:val="en-US" w:eastAsia="en-US"/>
        </w:rPr>
        <w:t>指标值未达到量化标准，目标制定规范性有待加强。</w:t>
      </w:r>
    </w:p>
    <w:p w14:paraId="1C4D4AA5">
      <w:pPr>
        <w:pStyle w:val="3"/>
        <w:rPr>
          <w:rFonts w:hint="eastAsia"/>
          <w:highlight w:val="none"/>
          <w:lang w:val="en-US" w:eastAsia="en-US"/>
        </w:rPr>
      </w:pPr>
      <w:r>
        <w:rPr>
          <w:rFonts w:hint="eastAsia"/>
          <w:highlight w:val="none"/>
          <w:lang w:val="en-US" w:eastAsia="en-US"/>
        </w:rPr>
        <w:t>评价组核查</w:t>
      </w:r>
      <w:r>
        <w:rPr>
          <w:rFonts w:hint="eastAsia"/>
          <w:highlight w:val="none"/>
          <w:lang w:val="en-US" w:eastAsia="zh-CN"/>
        </w:rPr>
        <w:t>市文联</w:t>
      </w:r>
      <w:r>
        <w:rPr>
          <w:rFonts w:hint="eastAsia"/>
          <w:highlight w:val="none"/>
          <w:lang w:val="en-US" w:eastAsia="en-US"/>
        </w:rPr>
        <w:t>填报的</w:t>
      </w:r>
      <w:r>
        <w:rPr>
          <w:rFonts w:hint="eastAsia"/>
          <w:highlight w:val="none"/>
          <w:lang w:val="en-US" w:eastAsia="zh-CN"/>
        </w:rPr>
        <w:t>4</w:t>
      </w:r>
      <w:r>
        <w:rPr>
          <w:rFonts w:hint="eastAsia"/>
          <w:highlight w:val="none"/>
          <w:lang w:val="en-US" w:eastAsia="en-US"/>
        </w:rPr>
        <w:t>个项目的绩效目标表，</w:t>
      </w:r>
      <w:r>
        <w:rPr>
          <w:rFonts w:hint="eastAsia"/>
          <w:highlight w:val="none"/>
          <w:lang w:val="en-US" w:eastAsia="en-US"/>
        </w:rPr>
        <w:t>整体而言目标制定质量较好，</w:t>
      </w:r>
      <w:r>
        <w:rPr>
          <w:rFonts w:hint="eastAsia"/>
          <w:highlight w:val="none"/>
          <w:lang w:val="en-US" w:eastAsia="zh-CN"/>
        </w:rPr>
        <w:t>要素完整。</w:t>
      </w:r>
      <w:r>
        <w:rPr>
          <w:rFonts w:hint="eastAsia"/>
          <w:highlight w:val="none"/>
          <w:lang w:val="en-US" w:eastAsia="en-US"/>
        </w:rPr>
        <w:t>但</w:t>
      </w:r>
      <w:r>
        <w:rPr>
          <w:rFonts w:hint="eastAsia"/>
          <w:highlight w:val="none"/>
          <w:lang w:val="en-US" w:eastAsia="zh-CN"/>
        </w:rPr>
        <w:t>4个</w:t>
      </w:r>
      <w:r>
        <w:rPr>
          <w:rFonts w:hint="eastAsia"/>
          <w:highlight w:val="none"/>
          <w:lang w:val="en-US" w:eastAsia="en-US"/>
        </w:rPr>
        <w:t>项目</w:t>
      </w:r>
      <w:r>
        <w:rPr>
          <w:rFonts w:hint="eastAsia"/>
          <w:highlight w:val="none"/>
          <w:lang w:val="en-US" w:eastAsia="zh-CN"/>
        </w:rPr>
        <w:t>的质量指标的指标内容与质量不相关</w:t>
      </w:r>
      <w:r>
        <w:rPr>
          <w:rFonts w:hint="eastAsia"/>
          <w:highlight w:val="none"/>
          <w:lang w:val="en-US" w:eastAsia="en-US"/>
        </w:rPr>
        <w:t>，</w:t>
      </w:r>
      <w:r>
        <w:rPr>
          <w:rFonts w:hint="eastAsia"/>
          <w:highlight w:val="none"/>
          <w:lang w:val="en-US" w:eastAsia="zh-CN"/>
        </w:rPr>
        <w:t>均为数量指标内容</w:t>
      </w:r>
      <w:r>
        <w:rPr>
          <w:rFonts w:hint="eastAsia"/>
          <w:highlight w:val="none"/>
          <w:lang w:val="en-US" w:eastAsia="en-US"/>
        </w:rPr>
        <w:t>。</w:t>
      </w:r>
    </w:p>
    <w:p w14:paraId="2D113C63">
      <w:pPr>
        <w:pStyle w:val="3"/>
        <w:rPr>
          <w:rFonts w:hint="eastAsia" w:eastAsia="仿宋_GB2312"/>
          <w:highlight w:val="none"/>
          <w:lang w:val="en-US" w:eastAsia="zh-CN"/>
        </w:rPr>
      </w:pPr>
      <w:r>
        <w:rPr>
          <w:rFonts w:hint="eastAsia"/>
          <w:highlight w:val="none"/>
          <w:lang w:val="en-US" w:eastAsia="zh-CN"/>
        </w:rPr>
        <w:t>市文联未将</w:t>
      </w:r>
      <w:r>
        <w:rPr>
          <w:rFonts w:hint="eastAsia"/>
          <w:highlight w:val="none"/>
          <w:lang w:val="en-US" w:eastAsia="en-US"/>
        </w:rPr>
        <w:t>绩效目标纳入部门党组（委）会（办公会）集体决策范围</w:t>
      </w:r>
      <w:r>
        <w:rPr>
          <w:rFonts w:hint="eastAsia"/>
          <w:highlight w:val="none"/>
          <w:lang w:val="en-US" w:eastAsia="zh-CN"/>
        </w:rPr>
        <w:t>。</w:t>
      </w:r>
    </w:p>
    <w:p w14:paraId="30FF8CBF">
      <w:pPr>
        <w:pStyle w:val="3"/>
        <w:rPr>
          <w:rFonts w:hint="eastAsia"/>
          <w:highlight w:val="none"/>
          <w:lang w:val="en-US" w:eastAsia="en-US"/>
        </w:rPr>
      </w:pPr>
      <w:r>
        <w:rPr>
          <w:rFonts w:hint="eastAsia"/>
          <w:b/>
          <w:bCs/>
          <w:highlight w:val="none"/>
          <w:lang w:val="en-US" w:eastAsia="en-US"/>
        </w:rPr>
        <w:t>目标完成较好。</w:t>
      </w:r>
      <w:r>
        <w:rPr>
          <w:rFonts w:hint="eastAsia"/>
          <w:highlight w:val="none"/>
          <w:lang w:val="en-US" w:eastAsia="en-US"/>
        </w:rPr>
        <w:t>经评价组核查，</w:t>
      </w:r>
      <w:r>
        <w:rPr>
          <w:rFonts w:hint="eastAsia"/>
          <w:highlight w:val="none"/>
          <w:lang w:val="en-US" w:eastAsia="zh-CN"/>
        </w:rPr>
        <w:t>市文联2023年</w:t>
      </w:r>
      <w:r>
        <w:rPr>
          <w:rFonts w:hint="eastAsia"/>
          <w:highlight w:val="none"/>
          <w:lang w:val="en-US" w:eastAsia="en-US"/>
        </w:rPr>
        <w:t>纳入绩效目标管理的部门预算项目个数为</w:t>
      </w:r>
      <w:r>
        <w:rPr>
          <w:rFonts w:hint="eastAsia"/>
          <w:highlight w:val="none"/>
          <w:lang w:val="en-US" w:eastAsia="zh-CN"/>
        </w:rPr>
        <w:t>4</w:t>
      </w:r>
      <w:r>
        <w:rPr>
          <w:rFonts w:hint="eastAsia"/>
          <w:highlight w:val="none"/>
          <w:lang w:val="en-US" w:eastAsia="en-US"/>
        </w:rPr>
        <w:t>个，</w:t>
      </w:r>
      <w:r>
        <w:rPr>
          <w:rFonts w:hint="eastAsia"/>
          <w:highlight w:val="none"/>
          <w:lang w:val="en-US" w:eastAsia="zh-CN"/>
        </w:rPr>
        <w:t>4个项目均实现了预期绩效目标</w:t>
      </w:r>
      <w:r>
        <w:rPr>
          <w:rFonts w:hint="eastAsia"/>
          <w:highlight w:val="none"/>
          <w:lang w:val="en-US" w:eastAsia="en-US"/>
        </w:rPr>
        <w:t>。</w:t>
      </w:r>
    </w:p>
    <w:p w14:paraId="7E08DE0C">
      <w:pPr>
        <w:pStyle w:val="5"/>
        <w:pageBreakBefore w:val="0"/>
        <w:widowControl w:val="0"/>
        <w:numPr>
          <w:ilvl w:val="2"/>
          <w:numId w:val="0"/>
        </w:numPr>
        <w:kinsoku/>
        <w:wordWrap/>
        <w:overflowPunct/>
        <w:topLinePunct w:val="0"/>
        <w:autoSpaceDE/>
        <w:autoSpaceDN/>
        <w:bidi w:val="0"/>
        <w:snapToGrid/>
        <w:spacing w:before="0" w:after="0"/>
        <w:ind w:firstLine="640" w:firstLineChars="200"/>
        <w:textAlignment w:val="auto"/>
        <w:rPr>
          <w:rFonts w:hint="eastAsia"/>
          <w:highlight w:val="none"/>
          <w:lang w:val="en-US" w:eastAsia="en-US"/>
        </w:rPr>
      </w:pPr>
      <w:r>
        <w:rPr>
          <w:rFonts w:hint="eastAsia"/>
          <w:highlight w:val="none"/>
          <w:lang w:val="en-US" w:eastAsia="en-US"/>
        </w:rPr>
        <w:t>（2）预算执行</w:t>
      </w:r>
    </w:p>
    <w:p w14:paraId="350D3D11">
      <w:pPr>
        <w:pStyle w:val="3"/>
        <w:rPr>
          <w:rFonts w:hint="eastAsia" w:eastAsia="仿宋_GB2312"/>
          <w:highlight w:val="none"/>
          <w:lang w:val="en-US" w:eastAsia="zh-CN"/>
        </w:rPr>
      </w:pPr>
      <w:r>
        <w:rPr>
          <w:rFonts w:hint="eastAsia"/>
          <w:b/>
          <w:bCs/>
          <w:highlight w:val="none"/>
          <w:lang w:val="en-US" w:eastAsia="en-US"/>
        </w:rPr>
        <w:t>支出控制有效性</w:t>
      </w:r>
      <w:r>
        <w:rPr>
          <w:rFonts w:hint="eastAsia"/>
          <w:b/>
          <w:bCs/>
          <w:highlight w:val="none"/>
          <w:lang w:val="en-US" w:eastAsia="zh-CN"/>
        </w:rPr>
        <w:t>较好</w:t>
      </w:r>
      <w:r>
        <w:rPr>
          <w:rFonts w:hint="eastAsia"/>
          <w:highlight w:val="none"/>
          <w:lang w:val="en-US" w:eastAsia="en-US"/>
        </w:rPr>
        <w:t>。部门日常公用经费及项目支出中“办公费、印刷费、水费、电费、物业管理费、维修（护）费、培训费、会议费”</w:t>
      </w:r>
      <w:r>
        <w:rPr>
          <w:rFonts w:hint="eastAsia"/>
          <w:highlight w:val="none"/>
          <w:lang w:val="en-US" w:eastAsia="zh-CN"/>
        </w:rPr>
        <w:t>8</w:t>
      </w:r>
      <w:r>
        <w:rPr>
          <w:rFonts w:hint="eastAsia"/>
          <w:highlight w:val="none"/>
          <w:lang w:val="en-US" w:eastAsia="en-US"/>
        </w:rPr>
        <w:t>个科目</w:t>
      </w:r>
      <w:r>
        <w:rPr>
          <w:rFonts w:hint="eastAsia"/>
          <w:highlight w:val="none"/>
          <w:lang w:val="en-US" w:eastAsia="en-US"/>
        </w:rPr>
        <w:t>年初预算数为</w:t>
      </w:r>
      <w:r>
        <w:rPr>
          <w:rFonts w:hint="eastAsia"/>
          <w:highlight w:val="none"/>
          <w:lang w:val="en-US" w:eastAsia="zh-CN"/>
        </w:rPr>
        <w:t>22.74</w:t>
      </w:r>
      <w:r>
        <w:rPr>
          <w:rFonts w:hint="eastAsia"/>
          <w:highlight w:val="none"/>
          <w:lang w:val="en-US" w:eastAsia="en-US"/>
        </w:rPr>
        <w:t>万元</w:t>
      </w:r>
      <w:r>
        <w:rPr>
          <w:rFonts w:hint="eastAsia"/>
          <w:highlight w:val="none"/>
          <w:lang w:val="en-US" w:eastAsia="en-US"/>
        </w:rPr>
        <w:t>，决算数为</w:t>
      </w:r>
      <w:r>
        <w:rPr>
          <w:rFonts w:hint="eastAsia"/>
          <w:highlight w:val="none"/>
          <w:lang w:val="en-US" w:eastAsia="zh-CN"/>
        </w:rPr>
        <w:t>20.54</w:t>
      </w:r>
      <w:r>
        <w:rPr>
          <w:rFonts w:hint="eastAsia"/>
          <w:highlight w:val="none"/>
          <w:lang w:val="en-US" w:eastAsia="en-US"/>
        </w:rPr>
        <w:t>万元，预</w:t>
      </w:r>
      <w:r>
        <w:rPr>
          <w:rFonts w:hint="eastAsia"/>
          <w:highlight w:val="none"/>
          <w:lang w:val="en-US" w:eastAsia="zh-CN"/>
        </w:rPr>
        <w:t>决</w:t>
      </w:r>
      <w:r>
        <w:rPr>
          <w:rFonts w:hint="eastAsia"/>
          <w:highlight w:val="none"/>
          <w:lang w:val="en-US" w:eastAsia="en-US"/>
        </w:rPr>
        <w:t>算偏差程度</w:t>
      </w:r>
      <w:r>
        <w:rPr>
          <w:rFonts w:hint="eastAsia"/>
          <w:highlight w:val="none"/>
          <w:lang w:val="en-US" w:eastAsia="zh-CN"/>
        </w:rPr>
        <w:t>9.67</w:t>
      </w:r>
      <w:r>
        <w:rPr>
          <w:rFonts w:hint="eastAsia"/>
          <w:highlight w:val="none"/>
          <w:lang w:val="en-US" w:eastAsia="en-US"/>
        </w:rPr>
        <w:t>%，部门公用经费及项目支出相关科目控制有效性</w:t>
      </w:r>
      <w:r>
        <w:rPr>
          <w:rFonts w:hint="eastAsia"/>
          <w:highlight w:val="none"/>
          <w:lang w:val="en-US" w:eastAsia="zh-CN"/>
        </w:rPr>
        <w:t>较好</w:t>
      </w:r>
      <w:r>
        <w:rPr>
          <w:rFonts w:hint="eastAsia"/>
          <w:highlight w:val="none"/>
          <w:lang w:val="en-US" w:eastAsia="en-US"/>
        </w:rPr>
        <w:t>，具体情况见表</w:t>
      </w:r>
      <w:r>
        <w:rPr>
          <w:rFonts w:hint="eastAsia"/>
          <w:highlight w:val="none"/>
          <w:lang w:val="en-US" w:eastAsia="zh-CN"/>
        </w:rPr>
        <w:t>4</w:t>
      </w:r>
      <w:r>
        <w:rPr>
          <w:rFonts w:hint="eastAsia"/>
          <w:highlight w:val="none"/>
          <w:lang w:val="en-US" w:eastAsia="en-US"/>
        </w:rPr>
        <w:t>-</w:t>
      </w:r>
      <w:r>
        <w:rPr>
          <w:rFonts w:hint="eastAsia"/>
          <w:highlight w:val="none"/>
          <w:lang w:val="en-US" w:eastAsia="zh-CN"/>
        </w:rPr>
        <w:t>3。</w:t>
      </w:r>
    </w:p>
    <w:p w14:paraId="1EBE9A92">
      <w:pPr>
        <w:pStyle w:val="3"/>
        <w:jc w:val="center"/>
        <w:rPr>
          <w:rFonts w:hint="eastAsia" w:ascii="仿宋" w:hAnsi="仿宋" w:eastAsia="仿宋" w:cs="仿宋"/>
          <w:b/>
          <w:bCs/>
          <w:sz w:val="28"/>
          <w:szCs w:val="28"/>
          <w:highlight w:val="none"/>
          <w:lang w:val="en-US" w:eastAsia="en-US"/>
        </w:rPr>
      </w:pPr>
      <w:r>
        <w:rPr>
          <w:rFonts w:hint="eastAsia" w:ascii="仿宋" w:hAnsi="仿宋" w:eastAsia="仿宋" w:cs="仿宋"/>
          <w:b/>
          <w:bCs/>
          <w:sz w:val="28"/>
          <w:szCs w:val="28"/>
          <w:highlight w:val="none"/>
          <w:lang w:val="en-US" w:eastAsia="en-US"/>
        </w:rPr>
        <w:t>表</w:t>
      </w:r>
      <w:r>
        <w:rPr>
          <w:rFonts w:hint="eastAsia" w:ascii="仿宋" w:hAnsi="仿宋" w:eastAsia="仿宋" w:cs="仿宋"/>
          <w:b/>
          <w:bCs/>
          <w:sz w:val="28"/>
          <w:szCs w:val="28"/>
          <w:highlight w:val="none"/>
          <w:lang w:val="en-US" w:eastAsia="zh-CN"/>
        </w:rPr>
        <w:t>4</w:t>
      </w:r>
      <w:r>
        <w:rPr>
          <w:rFonts w:hint="eastAsia" w:ascii="仿宋" w:hAnsi="仿宋" w:eastAsia="仿宋" w:cs="仿宋"/>
          <w:b/>
          <w:bCs/>
          <w:sz w:val="28"/>
          <w:szCs w:val="28"/>
          <w:highlight w:val="none"/>
          <w:lang w:val="en-US" w:eastAsia="en-US"/>
        </w:rPr>
        <w:t>-</w:t>
      </w:r>
      <w:r>
        <w:rPr>
          <w:rFonts w:hint="eastAsia" w:ascii="仿宋" w:hAnsi="仿宋" w:eastAsia="仿宋" w:cs="仿宋"/>
          <w:b/>
          <w:bCs/>
          <w:sz w:val="28"/>
          <w:szCs w:val="28"/>
          <w:highlight w:val="none"/>
          <w:lang w:val="en-US" w:eastAsia="zh-CN"/>
        </w:rPr>
        <w:t xml:space="preserve">3  </w:t>
      </w:r>
      <w:r>
        <w:rPr>
          <w:rFonts w:hint="eastAsia" w:ascii="仿宋" w:hAnsi="仿宋" w:eastAsia="仿宋" w:cs="仿宋"/>
          <w:b/>
          <w:bCs/>
          <w:sz w:val="28"/>
          <w:szCs w:val="28"/>
          <w:highlight w:val="none"/>
          <w:lang w:val="en-US" w:eastAsia="en-US"/>
        </w:rPr>
        <w:t>部门公用经费支出情况表</w:t>
      </w:r>
    </w:p>
    <w:p w14:paraId="5F8958C6">
      <w:pPr>
        <w:widowControl w:val="0"/>
        <w:spacing w:line="600" w:lineRule="exact"/>
        <w:ind w:firstLine="480" w:firstLineChars="200"/>
        <w:jc w:val="right"/>
        <w:rPr>
          <w:rFonts w:hint="eastAsia" w:ascii="仿宋" w:hAnsi="仿宋" w:eastAsia="仿宋" w:cs="仿宋"/>
          <w:b/>
          <w:bCs/>
          <w:sz w:val="28"/>
          <w:szCs w:val="28"/>
          <w:highlight w:val="none"/>
          <w:lang w:val="en-US" w:eastAsia="en-US"/>
        </w:rPr>
      </w:pPr>
      <w:r>
        <w:rPr>
          <w:rFonts w:hint="eastAsia" w:ascii="仿宋" w:hAnsi="仿宋" w:eastAsia="仿宋" w:cs="仿宋"/>
          <w:kern w:val="0"/>
          <w:sz w:val="24"/>
          <w:szCs w:val="24"/>
          <w:highlight w:val="none"/>
          <w:lang w:val="en-US" w:eastAsia="zh-CN" w:bidi="ar-SA"/>
        </w:rPr>
        <w:t>单位：万元</w:t>
      </w:r>
    </w:p>
    <w:tbl>
      <w:tblPr>
        <w:tblStyle w:val="22"/>
        <w:tblW w:w="88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36"/>
        <w:gridCol w:w="1321"/>
        <w:gridCol w:w="879"/>
        <w:gridCol w:w="1763"/>
        <w:gridCol w:w="795"/>
        <w:gridCol w:w="910"/>
        <w:gridCol w:w="679"/>
        <w:gridCol w:w="1279"/>
      </w:tblGrid>
      <w:tr w14:paraId="41D62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jc w:val="center"/>
        </w:trPr>
        <w:tc>
          <w:tcPr>
            <w:tcW w:w="153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CBF55">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r>
              <w:rPr>
                <w:rFonts w:hint="eastAsia" w:ascii="仿宋" w:hAnsi="仿宋" w:eastAsia="仿宋" w:cs="仿宋"/>
                <w:b/>
                <w:bCs/>
                <w:sz w:val="22"/>
                <w:szCs w:val="22"/>
                <w:highlight w:val="none"/>
                <w:lang w:val="en-US" w:eastAsia="en-US"/>
              </w:rPr>
              <w:t>经济科目</w:t>
            </w:r>
          </w:p>
        </w:tc>
        <w:tc>
          <w:tcPr>
            <w:tcW w:w="132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1D711">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r>
              <w:rPr>
                <w:rFonts w:hint="eastAsia" w:ascii="仿宋" w:hAnsi="仿宋" w:eastAsia="仿宋" w:cs="仿宋"/>
                <w:b/>
                <w:bCs/>
                <w:sz w:val="22"/>
                <w:szCs w:val="22"/>
                <w:highlight w:val="none"/>
                <w:lang w:val="en-US" w:eastAsia="en-US"/>
              </w:rPr>
              <w:t>年初预算数</w:t>
            </w:r>
          </w:p>
        </w:tc>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35226">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r>
              <w:rPr>
                <w:rFonts w:hint="eastAsia" w:ascii="仿宋" w:hAnsi="仿宋" w:eastAsia="仿宋" w:cs="仿宋"/>
                <w:b/>
                <w:bCs/>
                <w:sz w:val="22"/>
                <w:szCs w:val="22"/>
                <w:highlight w:val="none"/>
                <w:lang w:val="en-US" w:eastAsia="en-US"/>
              </w:rPr>
              <w:t>决算数</w:t>
            </w:r>
          </w:p>
        </w:tc>
        <w:tc>
          <w:tcPr>
            <w:tcW w:w="176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C0345">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r>
              <w:rPr>
                <w:rFonts w:hint="eastAsia" w:ascii="仿宋" w:hAnsi="仿宋" w:eastAsia="仿宋" w:cs="仿宋"/>
                <w:b/>
                <w:bCs/>
                <w:sz w:val="22"/>
                <w:szCs w:val="22"/>
                <w:highlight w:val="none"/>
                <w:lang w:val="en-US" w:eastAsia="en-US"/>
              </w:rPr>
              <w:t>预决算数偏差率</w:t>
            </w:r>
          </w:p>
        </w:tc>
        <w:tc>
          <w:tcPr>
            <w:tcW w:w="366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99318">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r>
              <w:rPr>
                <w:rFonts w:hint="eastAsia" w:ascii="仿宋" w:hAnsi="仿宋" w:eastAsia="仿宋" w:cs="仿宋"/>
                <w:b/>
                <w:bCs/>
                <w:sz w:val="22"/>
                <w:szCs w:val="22"/>
                <w:highlight w:val="none"/>
                <w:lang w:val="en-US" w:eastAsia="en-US"/>
              </w:rPr>
              <w:t>支出总金额（决算数）类别及占比</w:t>
            </w:r>
          </w:p>
        </w:tc>
      </w:tr>
      <w:tr w14:paraId="66DAE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7AC49">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p>
        </w:tc>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EDF70">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3C6D2">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p>
        </w:tc>
        <w:tc>
          <w:tcPr>
            <w:tcW w:w="17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3DA12">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p>
        </w:tc>
        <w:tc>
          <w:tcPr>
            <w:tcW w:w="17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565C7">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r>
              <w:rPr>
                <w:rFonts w:hint="eastAsia" w:ascii="仿宋" w:hAnsi="仿宋" w:eastAsia="仿宋" w:cs="仿宋"/>
                <w:b/>
                <w:bCs/>
                <w:sz w:val="22"/>
                <w:szCs w:val="22"/>
                <w:highlight w:val="none"/>
                <w:lang w:val="en-US" w:eastAsia="en-US"/>
              </w:rPr>
              <w:t>基本支出</w:t>
            </w:r>
          </w:p>
        </w:tc>
        <w:tc>
          <w:tcPr>
            <w:tcW w:w="19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6FAF5">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r>
              <w:rPr>
                <w:rFonts w:hint="eastAsia" w:ascii="仿宋" w:hAnsi="仿宋" w:eastAsia="仿宋" w:cs="仿宋"/>
                <w:b/>
                <w:bCs/>
                <w:sz w:val="22"/>
                <w:szCs w:val="22"/>
                <w:highlight w:val="none"/>
                <w:lang w:val="en-US" w:eastAsia="en-US"/>
              </w:rPr>
              <w:t>项目支出</w:t>
            </w:r>
          </w:p>
        </w:tc>
      </w:tr>
      <w:tr w14:paraId="700E6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27A30">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p>
        </w:tc>
        <w:tc>
          <w:tcPr>
            <w:tcW w:w="132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FE764">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p>
        </w:tc>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1A0E5">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p>
        </w:tc>
        <w:tc>
          <w:tcPr>
            <w:tcW w:w="17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34BA2">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096E9">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r>
              <w:rPr>
                <w:rFonts w:hint="eastAsia" w:ascii="仿宋" w:hAnsi="仿宋" w:eastAsia="仿宋" w:cs="仿宋"/>
                <w:b/>
                <w:bCs/>
                <w:sz w:val="22"/>
                <w:szCs w:val="22"/>
                <w:highlight w:val="none"/>
                <w:lang w:val="en-US" w:eastAsia="en-US"/>
              </w:rPr>
              <w:t>金额</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71D4E">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r>
              <w:rPr>
                <w:rFonts w:hint="eastAsia" w:ascii="仿宋" w:hAnsi="仿宋" w:eastAsia="仿宋" w:cs="仿宋"/>
                <w:b/>
                <w:bCs/>
                <w:sz w:val="22"/>
                <w:szCs w:val="22"/>
                <w:highlight w:val="none"/>
                <w:lang w:val="en-US" w:eastAsia="en-US"/>
              </w:rPr>
              <w:t>占比</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EA9CC">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r>
              <w:rPr>
                <w:rFonts w:hint="eastAsia" w:ascii="仿宋" w:hAnsi="仿宋" w:eastAsia="仿宋" w:cs="仿宋"/>
                <w:b/>
                <w:bCs/>
                <w:sz w:val="22"/>
                <w:szCs w:val="22"/>
                <w:highlight w:val="none"/>
                <w:lang w:val="en-US" w:eastAsia="en-US"/>
              </w:rPr>
              <w:t>金额</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9B6D5">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r>
              <w:rPr>
                <w:rFonts w:hint="eastAsia" w:ascii="仿宋" w:hAnsi="仿宋" w:eastAsia="仿宋" w:cs="仿宋"/>
                <w:b/>
                <w:bCs/>
                <w:sz w:val="22"/>
                <w:szCs w:val="22"/>
                <w:highlight w:val="none"/>
                <w:lang w:val="en-US" w:eastAsia="en-US"/>
              </w:rPr>
              <w:t>占比</w:t>
            </w:r>
          </w:p>
        </w:tc>
      </w:tr>
      <w:tr w14:paraId="41D40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26504">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办公费</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437D4">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7.49</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995C0">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6.44</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5FA70">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zh-CN"/>
              </w:rPr>
              <w:t>14.02%</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6EEC7">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6.44</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38C61">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100%</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DAA4E">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91878">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r>
      <w:tr w14:paraId="269EE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04DEE">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印刷费</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2A4DD">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10</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C7770">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10</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F6675">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zh-CN"/>
              </w:rPr>
              <w:t>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46AF7">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C5B0D">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CC432">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10</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920D4">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100%</w:t>
            </w:r>
          </w:p>
        </w:tc>
      </w:tr>
      <w:tr w14:paraId="77CA2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1BA9B">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水费</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6977A">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45021">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30232">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zh-CN"/>
              </w:rPr>
              <w:t>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A891A">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5D4AD">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A4A92">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2962B">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r>
      <w:tr w14:paraId="3E081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89CA4">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电费</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542BD">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7836F">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EED1D">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zh-CN"/>
              </w:rPr>
              <w:t>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1662B">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4A609">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B8E26">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89551">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r>
      <w:tr w14:paraId="163B8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5699D">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物业管理费</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78D92">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1.5</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2EC8F">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1.42</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B8DFA">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zh-CN"/>
              </w:rPr>
              <w:t>5.33%</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03304">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1.42</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CB3E5">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100%</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49A21">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8FFDB">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r>
      <w:tr w14:paraId="77F34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59E97">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维修（护）费</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F6914">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07F5D">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54106">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zh-CN"/>
              </w:rPr>
              <w:t>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B3DE3">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865CE">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37234">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C6327">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r>
      <w:tr w14:paraId="5E690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C2581">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培训费</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1A9E5">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1.17</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50488">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0.05</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73BD9">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zh-CN"/>
              </w:rPr>
              <w:t>95.73%</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94317">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0.05</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AB4BD">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100%</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9F36A">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7560C">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r>
      <w:tr w14:paraId="746C1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CBCAD">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会议费</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7F2C2">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2.7</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5707B">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2.63</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AF263">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zh-CN"/>
              </w:rPr>
              <w:t>2.59%</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C12E3">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2.63</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4DFEB">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100%</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1A791">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78CFB">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val="0"/>
                <w:bCs w:val="0"/>
                <w:sz w:val="22"/>
                <w:szCs w:val="22"/>
                <w:highlight w:val="none"/>
                <w:lang w:val="en-US" w:eastAsia="en-US"/>
              </w:rPr>
            </w:pPr>
            <w:r>
              <w:rPr>
                <w:rFonts w:hint="eastAsia" w:ascii="仿宋" w:hAnsi="仿宋" w:eastAsia="仿宋" w:cs="仿宋"/>
                <w:b w:val="0"/>
                <w:bCs w:val="0"/>
                <w:sz w:val="22"/>
                <w:szCs w:val="22"/>
                <w:highlight w:val="none"/>
                <w:lang w:val="en-US" w:eastAsia="en-US"/>
              </w:rPr>
              <w:t>0</w:t>
            </w:r>
          </w:p>
        </w:tc>
      </w:tr>
      <w:tr w14:paraId="1C06F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D27CE">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r>
              <w:rPr>
                <w:rFonts w:hint="eastAsia" w:ascii="仿宋" w:hAnsi="仿宋" w:eastAsia="仿宋" w:cs="仿宋"/>
                <w:b/>
                <w:bCs/>
                <w:sz w:val="22"/>
                <w:szCs w:val="22"/>
                <w:highlight w:val="none"/>
                <w:lang w:val="en-US" w:eastAsia="en-US"/>
              </w:rPr>
              <w:t>合计</w:t>
            </w:r>
          </w:p>
        </w:tc>
        <w:tc>
          <w:tcPr>
            <w:tcW w:w="13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0FB02">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r>
              <w:rPr>
                <w:rFonts w:hint="eastAsia" w:ascii="仿宋" w:hAnsi="仿宋" w:eastAsia="仿宋" w:cs="仿宋"/>
                <w:b/>
                <w:bCs/>
                <w:sz w:val="22"/>
                <w:szCs w:val="22"/>
                <w:highlight w:val="none"/>
                <w:lang w:val="en-US" w:eastAsia="en-US"/>
              </w:rPr>
              <w:t>22.74</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44E8B">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r>
              <w:rPr>
                <w:rFonts w:hint="eastAsia" w:ascii="仿宋" w:hAnsi="仿宋" w:eastAsia="仿宋" w:cs="仿宋"/>
                <w:b/>
                <w:bCs/>
                <w:sz w:val="22"/>
                <w:szCs w:val="22"/>
                <w:highlight w:val="none"/>
                <w:lang w:val="en-US" w:eastAsia="en-US"/>
              </w:rPr>
              <w:t>20.54</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6A93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sz w:val="22"/>
                <w:szCs w:val="22"/>
                <w:highlight w:val="none"/>
                <w:lang w:val="en-US" w:eastAsia="en-US"/>
              </w:rPr>
            </w:pPr>
            <w:r>
              <w:rPr>
                <w:rFonts w:hint="eastAsia" w:ascii="仿宋" w:hAnsi="仿宋" w:eastAsia="仿宋" w:cs="仿宋"/>
                <w:b/>
                <w:bCs/>
                <w:kern w:val="0"/>
                <w:sz w:val="22"/>
                <w:szCs w:val="22"/>
                <w:highlight w:val="none"/>
                <w:lang w:val="en-US" w:eastAsia="zh-CN" w:bidi="ar-SA"/>
              </w:rPr>
              <w:t>9.67%</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99811">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r>
              <w:rPr>
                <w:rFonts w:hint="eastAsia" w:ascii="仿宋" w:hAnsi="仿宋" w:eastAsia="仿宋" w:cs="仿宋"/>
                <w:b/>
                <w:bCs/>
                <w:sz w:val="22"/>
                <w:szCs w:val="22"/>
                <w:highlight w:val="none"/>
                <w:lang w:val="en-US" w:eastAsia="en-US"/>
              </w:rPr>
              <w:t>10.54</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2D47C">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r>
              <w:rPr>
                <w:rFonts w:hint="eastAsia" w:ascii="仿宋" w:hAnsi="仿宋" w:eastAsia="仿宋" w:cs="仿宋"/>
                <w:b/>
                <w:bCs/>
                <w:sz w:val="22"/>
                <w:szCs w:val="22"/>
                <w:highlight w:val="none"/>
                <w:lang w:val="en-US" w:eastAsia="en-US"/>
              </w:rPr>
              <w:t>51.31%</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DF41D">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r>
              <w:rPr>
                <w:rFonts w:hint="eastAsia" w:ascii="仿宋" w:hAnsi="仿宋" w:eastAsia="仿宋" w:cs="仿宋"/>
                <w:b/>
                <w:bCs/>
                <w:sz w:val="22"/>
                <w:szCs w:val="22"/>
                <w:highlight w:val="none"/>
                <w:lang w:val="en-US" w:eastAsia="en-US"/>
              </w:rPr>
              <w:t>10</w:t>
            </w:r>
          </w:p>
        </w:tc>
        <w:tc>
          <w:tcPr>
            <w:tcW w:w="1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A0643">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仿宋" w:hAnsi="仿宋" w:eastAsia="仿宋" w:cs="仿宋"/>
                <w:b/>
                <w:bCs/>
                <w:sz w:val="22"/>
                <w:szCs w:val="22"/>
                <w:highlight w:val="none"/>
                <w:lang w:val="en-US" w:eastAsia="en-US"/>
              </w:rPr>
            </w:pPr>
            <w:r>
              <w:rPr>
                <w:rFonts w:hint="eastAsia" w:ascii="仿宋" w:hAnsi="仿宋" w:eastAsia="仿宋" w:cs="仿宋"/>
                <w:b/>
                <w:bCs/>
                <w:sz w:val="22"/>
                <w:szCs w:val="22"/>
                <w:highlight w:val="none"/>
                <w:lang w:val="en-US" w:eastAsia="en-US"/>
              </w:rPr>
              <w:t>48.69%</w:t>
            </w:r>
          </w:p>
        </w:tc>
      </w:tr>
    </w:tbl>
    <w:p w14:paraId="5B9F04B5">
      <w:pPr>
        <w:widowControl/>
        <w:kinsoku w:val="0"/>
        <w:autoSpaceDE w:val="0"/>
        <w:autoSpaceDN w:val="0"/>
        <w:adjustRightInd w:val="0"/>
        <w:snapToGrid w:val="0"/>
        <w:spacing w:line="66" w:lineRule="exact"/>
        <w:jc w:val="left"/>
        <w:textAlignment w:val="baseline"/>
        <w:rPr>
          <w:rFonts w:ascii="Arial" w:hAnsi="Arial" w:eastAsia="Arial" w:cs="Arial"/>
          <w:snapToGrid w:val="0"/>
          <w:color w:val="000000"/>
          <w:kern w:val="0"/>
          <w:highlight w:val="none"/>
          <w:lang w:eastAsia="en-US"/>
        </w:rPr>
      </w:pPr>
    </w:p>
    <w:p w14:paraId="56632AEA">
      <w:pPr>
        <w:pStyle w:val="3"/>
        <w:rPr>
          <w:rFonts w:hint="eastAsia"/>
          <w:highlight w:val="none"/>
          <w:lang w:val="en-US" w:eastAsia="en-US"/>
        </w:rPr>
      </w:pPr>
      <w:r>
        <w:rPr>
          <w:rFonts w:hint="eastAsia"/>
          <w:b/>
          <w:bCs/>
          <w:highlight w:val="none"/>
          <w:lang w:val="en-US" w:eastAsia="en-US"/>
        </w:rPr>
        <w:t>动态调整幅度</w:t>
      </w:r>
      <w:r>
        <w:rPr>
          <w:rFonts w:hint="eastAsia"/>
          <w:b/>
          <w:bCs/>
          <w:highlight w:val="none"/>
          <w:lang w:val="en-US" w:eastAsia="zh-CN"/>
        </w:rPr>
        <w:t>较好</w:t>
      </w:r>
      <w:r>
        <w:rPr>
          <w:rFonts w:hint="eastAsia"/>
          <w:b/>
          <w:bCs/>
          <w:highlight w:val="none"/>
          <w:lang w:val="en-US" w:eastAsia="en-US"/>
        </w:rPr>
        <w:t>。</w:t>
      </w:r>
      <w:r>
        <w:rPr>
          <w:rFonts w:hint="eastAsia"/>
          <w:highlight w:val="none"/>
          <w:lang w:val="en-US" w:eastAsia="en-US"/>
        </w:rPr>
        <w:t>根据部门</w:t>
      </w:r>
      <w:r>
        <w:rPr>
          <w:rFonts w:hint="eastAsia"/>
          <w:highlight w:val="none"/>
          <w:lang w:val="en-US" w:eastAsia="zh-CN"/>
        </w:rPr>
        <w:t>决算报表</w:t>
      </w:r>
      <w:r>
        <w:rPr>
          <w:rFonts w:hint="eastAsia"/>
          <w:highlight w:val="none"/>
          <w:lang w:val="en-US" w:eastAsia="en-US"/>
        </w:rPr>
        <w:t>及相关数据，</w:t>
      </w:r>
      <w:r>
        <w:rPr>
          <w:rFonts w:hint="eastAsia"/>
          <w:highlight w:val="none"/>
          <w:lang w:val="en-US" w:eastAsia="zh-CN"/>
        </w:rPr>
        <w:t>市文联2023年</w:t>
      </w:r>
      <w:r>
        <w:rPr>
          <w:rFonts w:hint="eastAsia"/>
          <w:highlight w:val="none"/>
          <w:lang w:val="en-US" w:eastAsia="en-US"/>
        </w:rPr>
        <w:t>绩效监控调整取消额与结余注销额</w:t>
      </w:r>
      <w:r>
        <w:rPr>
          <w:rFonts w:hint="eastAsia"/>
          <w:highlight w:val="none"/>
          <w:lang w:val="en-US" w:eastAsia="zh-CN"/>
        </w:rPr>
        <w:t>为0</w:t>
      </w:r>
      <w:r>
        <w:rPr>
          <w:rFonts w:hint="eastAsia"/>
          <w:highlight w:val="none"/>
          <w:lang w:val="en-US" w:eastAsia="en-US"/>
        </w:rPr>
        <w:t>。</w:t>
      </w:r>
    </w:p>
    <w:p w14:paraId="55C6ABB0">
      <w:pPr>
        <w:pStyle w:val="3"/>
        <w:rPr>
          <w:rFonts w:hint="eastAsia"/>
          <w:highlight w:val="none"/>
          <w:lang w:val="en-US" w:eastAsia="en-US"/>
        </w:rPr>
      </w:pPr>
      <w:r>
        <w:rPr>
          <w:rFonts w:hint="eastAsia"/>
          <w:b/>
          <w:bCs/>
          <w:highlight w:val="none"/>
          <w:lang w:val="en-US" w:eastAsia="en-US"/>
        </w:rPr>
        <w:t>执行进度未达目标。</w:t>
      </w:r>
      <w:r>
        <w:rPr>
          <w:rFonts w:hint="eastAsia"/>
          <w:highlight w:val="none"/>
          <w:lang w:val="en-US" w:eastAsia="en-US"/>
        </w:rPr>
        <w:t>经评价组核查，</w:t>
      </w:r>
      <w:r>
        <w:rPr>
          <w:rFonts w:hint="eastAsia"/>
          <w:highlight w:val="none"/>
          <w:lang w:val="en-US" w:eastAsia="zh-CN"/>
        </w:rPr>
        <w:t>市文联2023年</w:t>
      </w:r>
      <w:r>
        <w:rPr>
          <w:rFonts w:hint="eastAsia"/>
          <w:highlight w:val="none"/>
          <w:lang w:val="en-US" w:eastAsia="en-US"/>
        </w:rPr>
        <w:t>6月、9月、11月均未达到目标要求，预算执行进度较差，具体见下表</w:t>
      </w:r>
      <w:r>
        <w:rPr>
          <w:rFonts w:hint="eastAsia"/>
          <w:highlight w:val="none"/>
          <w:lang w:val="en-US" w:eastAsia="zh-CN"/>
        </w:rPr>
        <w:t>4</w:t>
      </w:r>
      <w:r>
        <w:rPr>
          <w:rFonts w:hint="eastAsia"/>
          <w:highlight w:val="none"/>
          <w:lang w:val="en-US" w:eastAsia="en-US"/>
        </w:rPr>
        <w:t>-3：</w:t>
      </w:r>
    </w:p>
    <w:p w14:paraId="6BC5E494">
      <w:pPr>
        <w:pStyle w:val="3"/>
        <w:jc w:val="center"/>
        <w:rPr>
          <w:rFonts w:hint="eastAsia" w:ascii="仿宋" w:hAnsi="仿宋" w:eastAsia="仿宋" w:cs="仿宋"/>
          <w:b/>
          <w:bCs/>
          <w:sz w:val="28"/>
          <w:szCs w:val="28"/>
          <w:highlight w:val="none"/>
          <w:lang w:val="en-US" w:eastAsia="en-US"/>
        </w:rPr>
      </w:pPr>
      <w:r>
        <w:rPr>
          <w:rFonts w:hint="eastAsia" w:ascii="仿宋" w:hAnsi="仿宋" w:eastAsia="仿宋" w:cs="仿宋"/>
          <w:b/>
          <w:bCs/>
          <w:sz w:val="28"/>
          <w:szCs w:val="28"/>
          <w:highlight w:val="none"/>
          <w:lang w:val="en-US" w:eastAsia="en-US"/>
        </w:rPr>
        <w:t>表</w:t>
      </w:r>
      <w:r>
        <w:rPr>
          <w:rFonts w:hint="eastAsia" w:ascii="仿宋" w:hAnsi="仿宋" w:eastAsia="仿宋" w:cs="仿宋"/>
          <w:b/>
          <w:bCs/>
          <w:sz w:val="28"/>
          <w:szCs w:val="28"/>
          <w:highlight w:val="none"/>
          <w:lang w:val="en-US" w:eastAsia="zh-CN"/>
        </w:rPr>
        <w:t>4</w:t>
      </w:r>
      <w:r>
        <w:rPr>
          <w:rFonts w:hint="eastAsia" w:ascii="仿宋" w:hAnsi="仿宋" w:eastAsia="仿宋" w:cs="仿宋"/>
          <w:b/>
          <w:bCs/>
          <w:sz w:val="28"/>
          <w:szCs w:val="28"/>
          <w:highlight w:val="none"/>
          <w:lang w:val="en-US" w:eastAsia="en-US"/>
        </w:rPr>
        <w:t>-3</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lang w:val="en-US" w:eastAsia="en-US"/>
        </w:rPr>
        <w:t>部门年度6、9、11月预算执行进度表</w:t>
      </w:r>
    </w:p>
    <w:tbl>
      <w:tblPr>
        <w:tblStyle w:val="22"/>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213"/>
        <w:gridCol w:w="2435"/>
        <w:gridCol w:w="2877"/>
      </w:tblGrid>
      <w:tr w14:paraId="68CAA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7" w:hRule="atLeast"/>
        </w:trPr>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5512E">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时间</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FB98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进度标准</w:t>
            </w:r>
          </w:p>
        </w:tc>
        <w:tc>
          <w:tcPr>
            <w:tcW w:w="1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F54E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单位实际进度</w:t>
            </w:r>
          </w:p>
        </w:tc>
      </w:tr>
      <w:tr w14:paraId="48418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AA0C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6月30日</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BE75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40%</w:t>
            </w:r>
          </w:p>
        </w:tc>
        <w:tc>
          <w:tcPr>
            <w:tcW w:w="1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74B1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31.7%</w:t>
            </w:r>
          </w:p>
        </w:tc>
      </w:tr>
      <w:tr w14:paraId="1BB44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8864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9月30日</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F433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67.5%</w:t>
            </w:r>
          </w:p>
        </w:tc>
        <w:tc>
          <w:tcPr>
            <w:tcW w:w="1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7C8E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60.8%</w:t>
            </w:r>
          </w:p>
        </w:tc>
      </w:tr>
      <w:tr w14:paraId="0C05B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8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DAD1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11月30日</w:t>
            </w:r>
          </w:p>
        </w:tc>
        <w:tc>
          <w:tcPr>
            <w:tcW w:w="14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E107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82.5%</w:t>
            </w:r>
          </w:p>
        </w:tc>
        <w:tc>
          <w:tcPr>
            <w:tcW w:w="16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F957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71.4%</w:t>
            </w:r>
          </w:p>
        </w:tc>
      </w:tr>
    </w:tbl>
    <w:p w14:paraId="18B0563C">
      <w:pPr>
        <w:widowControl/>
        <w:kinsoku w:val="0"/>
        <w:autoSpaceDE w:val="0"/>
        <w:autoSpaceDN w:val="0"/>
        <w:adjustRightInd w:val="0"/>
        <w:snapToGrid w:val="0"/>
        <w:spacing w:line="67" w:lineRule="exact"/>
        <w:jc w:val="left"/>
        <w:textAlignment w:val="baseline"/>
        <w:rPr>
          <w:rFonts w:ascii="Arial" w:hAnsi="Arial" w:eastAsia="Arial" w:cs="Arial"/>
          <w:snapToGrid w:val="0"/>
          <w:color w:val="000000"/>
          <w:kern w:val="0"/>
          <w:highlight w:val="none"/>
          <w:lang w:eastAsia="en-US"/>
        </w:rPr>
      </w:pPr>
    </w:p>
    <w:p w14:paraId="559EDF8D">
      <w:pPr>
        <w:pStyle w:val="5"/>
        <w:pageBreakBefore w:val="0"/>
        <w:widowControl w:val="0"/>
        <w:numPr>
          <w:ilvl w:val="2"/>
          <w:numId w:val="0"/>
        </w:numPr>
        <w:kinsoku/>
        <w:wordWrap/>
        <w:overflowPunct/>
        <w:topLinePunct w:val="0"/>
        <w:autoSpaceDE/>
        <w:autoSpaceDN/>
        <w:bidi w:val="0"/>
        <w:snapToGrid/>
        <w:spacing w:before="0" w:after="0"/>
        <w:ind w:firstLine="640" w:firstLineChars="200"/>
        <w:textAlignment w:val="auto"/>
        <w:rPr>
          <w:rFonts w:hint="eastAsia"/>
          <w:highlight w:val="none"/>
          <w:lang w:val="en-US" w:eastAsia="en-US"/>
        </w:rPr>
      </w:pPr>
      <w:r>
        <w:rPr>
          <w:rFonts w:hint="eastAsia"/>
          <w:highlight w:val="none"/>
          <w:lang w:val="en-US" w:eastAsia="en-US"/>
        </w:rPr>
        <w:t>（3）完成结果</w:t>
      </w:r>
    </w:p>
    <w:p w14:paraId="544995E6">
      <w:pPr>
        <w:pStyle w:val="3"/>
        <w:rPr>
          <w:rFonts w:hint="eastAsia"/>
          <w:highlight w:val="none"/>
          <w:lang w:val="en-US" w:eastAsia="en-US"/>
        </w:rPr>
      </w:pPr>
      <w:r>
        <w:rPr>
          <w:rFonts w:hint="eastAsia"/>
          <w:b/>
          <w:bCs/>
          <w:highlight w:val="none"/>
          <w:lang w:val="en-US" w:eastAsia="en-US"/>
        </w:rPr>
        <w:t>预算完成率9</w:t>
      </w:r>
      <w:r>
        <w:rPr>
          <w:rFonts w:hint="eastAsia"/>
          <w:b/>
          <w:bCs/>
          <w:highlight w:val="none"/>
          <w:lang w:val="en-US" w:eastAsia="zh-CN"/>
        </w:rPr>
        <w:t>7.86</w:t>
      </w:r>
      <w:r>
        <w:rPr>
          <w:rFonts w:hint="eastAsia"/>
          <w:b/>
          <w:bCs/>
          <w:highlight w:val="none"/>
          <w:lang w:val="en-US" w:eastAsia="en-US"/>
        </w:rPr>
        <w:t>%</w:t>
      </w:r>
      <w:r>
        <w:rPr>
          <w:rFonts w:hint="eastAsia"/>
          <w:highlight w:val="none"/>
          <w:lang w:val="en-US" w:eastAsia="en-US"/>
        </w:rPr>
        <w:t>。</w:t>
      </w:r>
      <w:r>
        <w:rPr>
          <w:rFonts w:hint="eastAsia"/>
          <w:highlight w:val="none"/>
          <w:lang w:val="en-US" w:eastAsia="zh-CN"/>
        </w:rPr>
        <w:t>2023年市文联调整后预算数为</w:t>
      </w:r>
      <w:r>
        <w:rPr>
          <w:rFonts w:hint="eastAsia"/>
          <w:highlight w:val="none"/>
          <w:lang w:val="en-US" w:eastAsia="en-US"/>
        </w:rPr>
        <w:t>429.36万元，实际支出420.16万元，预算执行率97.86%。</w:t>
      </w:r>
    </w:p>
    <w:p w14:paraId="35E35425">
      <w:pPr>
        <w:pStyle w:val="3"/>
        <w:rPr>
          <w:rFonts w:hint="default"/>
          <w:b/>
          <w:bCs/>
          <w:highlight w:val="none"/>
          <w:lang w:val="en-US" w:eastAsia="zh-CN"/>
        </w:rPr>
      </w:pPr>
      <w:r>
        <w:rPr>
          <w:rFonts w:hint="eastAsia"/>
          <w:b/>
          <w:bCs/>
          <w:highlight w:val="none"/>
          <w:lang w:val="en-US" w:eastAsia="zh-CN"/>
        </w:rPr>
        <w:t>资金结余率低。</w:t>
      </w:r>
      <w:r>
        <w:rPr>
          <w:rFonts w:hint="eastAsia"/>
          <w:b w:val="0"/>
          <w:bCs w:val="0"/>
          <w:highlight w:val="none"/>
          <w:lang w:val="en-US" w:eastAsia="zh-CN"/>
        </w:rPr>
        <w:t>2023年</w:t>
      </w:r>
      <w:r>
        <w:rPr>
          <w:rFonts w:hint="eastAsia"/>
          <w:highlight w:val="none"/>
          <w:lang w:val="en-US" w:eastAsia="zh-CN"/>
        </w:rPr>
        <w:t>市文联共有6个预算项目，其中预算项目资金结余率小于0.1的项目有6个。</w:t>
      </w:r>
    </w:p>
    <w:p w14:paraId="74C85334">
      <w:pPr>
        <w:pStyle w:val="3"/>
        <w:rPr>
          <w:rFonts w:hint="default" w:eastAsia="仿宋_GB2312"/>
          <w:highlight w:val="none"/>
          <w:lang w:val="en-US" w:eastAsia="zh-CN"/>
        </w:rPr>
      </w:pPr>
      <w:r>
        <w:rPr>
          <w:rFonts w:hint="eastAsia"/>
          <w:b/>
          <w:bCs/>
          <w:highlight w:val="none"/>
          <w:lang w:val="en-US" w:eastAsia="zh-CN"/>
        </w:rPr>
        <w:t>财政检查报告中存在违纪违规</w:t>
      </w:r>
      <w:r>
        <w:rPr>
          <w:rFonts w:hint="eastAsia"/>
          <w:b/>
          <w:bCs/>
          <w:highlight w:val="none"/>
          <w:lang w:val="en-US" w:eastAsia="en-US"/>
        </w:rPr>
        <w:t>。</w:t>
      </w:r>
      <w:r>
        <w:rPr>
          <w:rFonts w:hint="eastAsia"/>
          <w:highlight w:val="none"/>
          <w:lang w:val="en-US" w:eastAsia="en-US"/>
        </w:rPr>
        <w:t>经评价组核查，</w:t>
      </w:r>
      <w:r>
        <w:rPr>
          <w:rFonts w:hint="eastAsia"/>
          <w:highlight w:val="none"/>
          <w:lang w:val="en-US" w:eastAsia="zh-CN"/>
        </w:rPr>
        <w:t>市文联</w:t>
      </w:r>
      <w:r>
        <w:rPr>
          <w:rFonts w:hint="eastAsia"/>
          <w:highlight w:val="none"/>
          <w:lang w:val="en-US" w:eastAsia="en-US"/>
        </w:rPr>
        <w:t>接受</w:t>
      </w:r>
      <w:r>
        <w:rPr>
          <w:rFonts w:hint="eastAsia"/>
          <w:highlight w:val="none"/>
          <w:lang w:val="en-US" w:eastAsia="zh-CN"/>
        </w:rPr>
        <w:t>了2022年1月-2023年12月期间“六项经费”财政检查，不存在预算管理方面问题。</w:t>
      </w:r>
    </w:p>
    <w:p w14:paraId="05A9C184">
      <w:pPr>
        <w:pStyle w:val="5"/>
        <w:pageBreakBefore w:val="0"/>
        <w:widowControl w:val="0"/>
        <w:numPr>
          <w:ilvl w:val="2"/>
          <w:numId w:val="0"/>
        </w:numPr>
        <w:kinsoku/>
        <w:wordWrap/>
        <w:overflowPunct/>
        <w:topLinePunct w:val="0"/>
        <w:autoSpaceDE/>
        <w:autoSpaceDN/>
        <w:bidi w:val="0"/>
        <w:snapToGrid/>
        <w:spacing w:before="0" w:after="0"/>
        <w:ind w:firstLine="640" w:firstLineChars="200"/>
        <w:textAlignment w:val="auto"/>
        <w:rPr>
          <w:rFonts w:hint="eastAsia"/>
          <w:highlight w:val="none"/>
          <w:lang w:val="en-US" w:eastAsia="zh-CN"/>
        </w:rPr>
      </w:pPr>
      <w:r>
        <w:rPr>
          <w:rFonts w:hint="eastAsia"/>
          <w:highlight w:val="none"/>
          <w:lang w:val="en-US" w:eastAsia="zh-CN"/>
        </w:rPr>
        <w:t>（4）内部应用</w:t>
      </w:r>
    </w:p>
    <w:p w14:paraId="14F50ABC">
      <w:pPr>
        <w:pStyle w:val="3"/>
        <w:rPr>
          <w:rFonts w:hint="default"/>
          <w:highlight w:val="none"/>
          <w:lang w:val="en-US" w:eastAsia="zh-CN"/>
        </w:rPr>
      </w:pPr>
      <w:r>
        <w:rPr>
          <w:rFonts w:hint="eastAsia"/>
          <w:b/>
          <w:bCs/>
          <w:highlight w:val="none"/>
          <w:lang w:val="en-US" w:eastAsia="zh-CN"/>
        </w:rPr>
        <w:t>预算绩效挂钩制度不健全</w:t>
      </w:r>
      <w:r>
        <w:rPr>
          <w:rFonts w:hint="eastAsia"/>
          <w:highlight w:val="none"/>
          <w:lang w:val="en-US" w:eastAsia="zh-CN"/>
        </w:rPr>
        <w:t>。市文联未将</w:t>
      </w:r>
      <w:r>
        <w:rPr>
          <w:rFonts w:hint="default"/>
          <w:highlight w:val="none"/>
          <w:lang w:val="en-US" w:eastAsia="zh-CN"/>
        </w:rPr>
        <w:t>内设机构和下属单位绩效自评纳入考核体</w:t>
      </w:r>
      <w:r>
        <w:rPr>
          <w:rFonts w:hint="default"/>
          <w:highlight w:val="none"/>
          <w:lang w:val="en-US" w:eastAsia="zh-CN"/>
        </w:rPr>
        <w:t>系，</w:t>
      </w:r>
      <w:r>
        <w:rPr>
          <w:rFonts w:hint="eastAsia"/>
          <w:highlight w:val="none"/>
          <w:lang w:val="en-US" w:eastAsia="zh-CN"/>
        </w:rPr>
        <w:t>未</w:t>
      </w:r>
      <w:r>
        <w:rPr>
          <w:rFonts w:hint="default"/>
          <w:highlight w:val="none"/>
          <w:lang w:val="en-US" w:eastAsia="zh-CN"/>
        </w:rPr>
        <w:t>建立对内设机构和下属单位预算与绩效挂钩</w:t>
      </w:r>
      <w:r>
        <w:rPr>
          <w:rFonts w:hint="eastAsia"/>
          <w:highlight w:val="none"/>
          <w:lang w:val="en-US" w:eastAsia="zh-CN"/>
        </w:rPr>
        <w:t>的</w:t>
      </w:r>
      <w:r>
        <w:rPr>
          <w:rFonts w:hint="default"/>
          <w:highlight w:val="none"/>
          <w:lang w:val="en-US" w:eastAsia="zh-CN"/>
        </w:rPr>
        <w:t>机制</w:t>
      </w:r>
      <w:r>
        <w:rPr>
          <w:rFonts w:hint="eastAsia"/>
          <w:highlight w:val="none"/>
          <w:lang w:val="en-US" w:eastAsia="zh-CN"/>
        </w:rPr>
        <w:t>。</w:t>
      </w:r>
    </w:p>
    <w:p w14:paraId="1F8A5A74">
      <w:pPr>
        <w:pStyle w:val="5"/>
        <w:pageBreakBefore w:val="0"/>
        <w:widowControl w:val="0"/>
        <w:numPr>
          <w:ilvl w:val="2"/>
          <w:numId w:val="0"/>
        </w:numPr>
        <w:kinsoku/>
        <w:wordWrap/>
        <w:overflowPunct/>
        <w:topLinePunct w:val="0"/>
        <w:autoSpaceDE/>
        <w:autoSpaceDN/>
        <w:bidi w:val="0"/>
        <w:snapToGrid/>
        <w:spacing w:before="0" w:after="0"/>
        <w:ind w:firstLine="640" w:firstLineChars="200"/>
        <w:textAlignment w:val="auto"/>
        <w:rPr>
          <w:rFonts w:hint="eastAsia"/>
          <w:highlight w:val="none"/>
          <w:lang w:val="en-US" w:eastAsia="en-US"/>
        </w:rPr>
      </w:pPr>
      <w:r>
        <w:rPr>
          <w:rFonts w:hint="eastAsia"/>
          <w:highlight w:val="none"/>
          <w:lang w:val="en-US" w:eastAsia="zh-CN"/>
        </w:rPr>
        <w:t>（5）</w:t>
      </w:r>
      <w:r>
        <w:rPr>
          <w:rFonts w:hint="eastAsia"/>
          <w:highlight w:val="none"/>
          <w:lang w:val="en-US" w:eastAsia="en-US"/>
        </w:rPr>
        <w:t>信息公开</w:t>
      </w:r>
    </w:p>
    <w:p w14:paraId="32C4FF7A">
      <w:pPr>
        <w:pStyle w:val="3"/>
        <w:rPr>
          <w:rFonts w:hint="eastAsia"/>
          <w:highlight w:val="none"/>
          <w:lang w:val="en-US" w:eastAsia="en-US"/>
        </w:rPr>
      </w:pPr>
      <w:r>
        <w:rPr>
          <w:rFonts w:hint="eastAsia"/>
          <w:b/>
          <w:bCs/>
          <w:highlight w:val="none"/>
          <w:lang w:val="en-US" w:eastAsia="en-US"/>
        </w:rPr>
        <w:t>目标公开有效。</w:t>
      </w:r>
      <w:r>
        <w:rPr>
          <w:rFonts w:hint="eastAsia"/>
          <w:highlight w:val="none"/>
          <w:lang w:val="en-US" w:eastAsia="zh-CN"/>
        </w:rPr>
        <w:t>市文联</w:t>
      </w:r>
      <w:r>
        <w:rPr>
          <w:rFonts w:hint="eastAsia"/>
          <w:highlight w:val="none"/>
          <w:lang w:val="en-US" w:eastAsia="en-US"/>
        </w:rPr>
        <w:t>按市财政局要求将</w:t>
      </w:r>
      <w:r>
        <w:rPr>
          <w:rFonts w:hint="eastAsia"/>
          <w:highlight w:val="none"/>
          <w:lang w:val="en-US" w:eastAsia="zh-CN"/>
        </w:rPr>
        <w:t>2022年</w:t>
      </w:r>
      <w:r>
        <w:rPr>
          <w:rFonts w:hint="eastAsia"/>
          <w:highlight w:val="none"/>
          <w:lang w:val="en-US" w:eastAsia="en-US"/>
        </w:rPr>
        <w:t>部门</w:t>
      </w:r>
      <w:r>
        <w:rPr>
          <w:rFonts w:hint="eastAsia"/>
          <w:highlight w:val="none"/>
          <w:lang w:val="en-US" w:eastAsia="zh-CN"/>
        </w:rPr>
        <w:t>决</w:t>
      </w:r>
      <w:r>
        <w:rPr>
          <w:rFonts w:hint="eastAsia"/>
          <w:highlight w:val="none"/>
          <w:lang w:val="en-US" w:eastAsia="en-US"/>
        </w:rPr>
        <w:t>算信息于</w:t>
      </w:r>
      <w:r>
        <w:rPr>
          <w:rFonts w:hint="eastAsia"/>
          <w:highlight w:val="none"/>
          <w:lang w:val="en-US" w:eastAsia="zh-CN"/>
        </w:rPr>
        <w:t>2023年8</w:t>
      </w:r>
      <w:r>
        <w:rPr>
          <w:rFonts w:hint="eastAsia"/>
          <w:highlight w:val="none"/>
          <w:lang w:val="en-US" w:eastAsia="en-US"/>
        </w:rPr>
        <w:t>月公开在遂宁市人民政府信息公开网，公开内容包括</w:t>
      </w:r>
      <w:r>
        <w:rPr>
          <w:rFonts w:hint="eastAsia"/>
          <w:highlight w:val="none"/>
          <w:lang w:val="en-US" w:eastAsia="zh-CN"/>
        </w:rPr>
        <w:t>2022年决</w:t>
      </w:r>
      <w:r>
        <w:rPr>
          <w:rFonts w:hint="eastAsia"/>
          <w:highlight w:val="none"/>
          <w:lang w:val="en-US" w:eastAsia="en-US"/>
        </w:rPr>
        <w:t>算编制说明、</w:t>
      </w:r>
      <w:r>
        <w:rPr>
          <w:rFonts w:hint="eastAsia"/>
          <w:highlight w:val="none"/>
          <w:lang w:val="en-US" w:eastAsia="zh-CN"/>
        </w:rPr>
        <w:t>决算统计</w:t>
      </w:r>
      <w:r>
        <w:rPr>
          <w:rFonts w:hint="eastAsia"/>
          <w:highlight w:val="none"/>
          <w:lang w:val="en-US" w:eastAsia="en-US"/>
        </w:rPr>
        <w:t>表</w:t>
      </w:r>
      <w:r>
        <w:rPr>
          <w:rFonts w:hint="eastAsia"/>
          <w:highlight w:val="none"/>
          <w:lang w:val="en-US" w:eastAsia="zh-CN"/>
        </w:rPr>
        <w:t>、</w:t>
      </w:r>
      <w:r>
        <w:rPr>
          <w:rFonts w:hint="eastAsia"/>
          <w:highlight w:val="none"/>
          <w:lang w:val="en-US" w:eastAsia="en-US"/>
        </w:rPr>
        <w:t>部门整体</w:t>
      </w:r>
      <w:r>
        <w:rPr>
          <w:rFonts w:hint="eastAsia"/>
          <w:highlight w:val="none"/>
          <w:lang w:val="en-US" w:eastAsia="zh-CN"/>
        </w:rPr>
        <w:t>支出绩效自评报告</w:t>
      </w:r>
      <w:r>
        <w:rPr>
          <w:rFonts w:hint="eastAsia"/>
          <w:highlight w:val="none"/>
          <w:lang w:val="en-US" w:eastAsia="en-US"/>
        </w:rPr>
        <w:t>、整体支出绩效评价指标体系</w:t>
      </w:r>
      <w:r>
        <w:rPr>
          <w:rFonts w:hint="eastAsia"/>
          <w:highlight w:val="none"/>
          <w:lang w:val="en-US" w:eastAsia="zh-CN"/>
        </w:rPr>
        <w:t>以及</w:t>
      </w:r>
      <w:r>
        <w:rPr>
          <w:rFonts w:hint="eastAsia"/>
          <w:highlight w:val="none"/>
          <w:lang w:val="en-US" w:eastAsia="en-US"/>
        </w:rPr>
        <w:t>特定目标类部门预算项目绩效目标自评表。</w:t>
      </w:r>
    </w:p>
    <w:p w14:paraId="31B98C53">
      <w:pPr>
        <w:pStyle w:val="5"/>
        <w:pageBreakBefore w:val="0"/>
        <w:widowControl w:val="0"/>
        <w:numPr>
          <w:ilvl w:val="2"/>
          <w:numId w:val="0"/>
        </w:numPr>
        <w:kinsoku/>
        <w:wordWrap/>
        <w:overflowPunct/>
        <w:topLinePunct w:val="0"/>
        <w:autoSpaceDE/>
        <w:autoSpaceDN/>
        <w:bidi w:val="0"/>
        <w:snapToGrid/>
        <w:spacing w:before="0" w:after="0"/>
        <w:ind w:firstLine="640" w:firstLineChars="200"/>
        <w:textAlignment w:val="auto"/>
        <w:rPr>
          <w:rFonts w:hint="eastAsia"/>
          <w:highlight w:val="none"/>
          <w:lang w:val="en-US" w:eastAsia="en-US"/>
        </w:rPr>
      </w:pPr>
      <w:r>
        <w:rPr>
          <w:rFonts w:hint="eastAsia"/>
          <w:highlight w:val="none"/>
          <w:lang w:val="en-US" w:eastAsia="en-US"/>
        </w:rPr>
        <w:t>（</w:t>
      </w:r>
      <w:r>
        <w:rPr>
          <w:rFonts w:hint="eastAsia"/>
          <w:highlight w:val="none"/>
          <w:lang w:val="en-US" w:eastAsia="zh-CN"/>
        </w:rPr>
        <w:t>6</w:t>
      </w:r>
      <w:r>
        <w:rPr>
          <w:rFonts w:hint="eastAsia"/>
          <w:highlight w:val="none"/>
          <w:lang w:val="en-US" w:eastAsia="en-US"/>
        </w:rPr>
        <w:t>）整改反馈</w:t>
      </w:r>
    </w:p>
    <w:p w14:paraId="7795450E">
      <w:pPr>
        <w:pStyle w:val="3"/>
        <w:rPr>
          <w:rFonts w:hint="eastAsia"/>
          <w:highlight w:val="none"/>
          <w:lang w:val="en-US" w:eastAsia="en-US"/>
        </w:rPr>
      </w:pPr>
      <w:r>
        <w:rPr>
          <w:rFonts w:hint="eastAsia"/>
          <w:b/>
          <w:bCs/>
          <w:highlight w:val="none"/>
          <w:lang w:val="en-US" w:eastAsia="zh-CN"/>
        </w:rPr>
        <w:t>不涉及</w:t>
      </w:r>
      <w:r>
        <w:rPr>
          <w:rFonts w:hint="eastAsia"/>
          <w:b/>
          <w:bCs/>
          <w:highlight w:val="none"/>
          <w:lang w:val="en-US" w:eastAsia="en-US"/>
        </w:rPr>
        <w:t>结果整改。</w:t>
      </w:r>
      <w:r>
        <w:rPr>
          <w:rFonts w:hint="eastAsia"/>
          <w:highlight w:val="none"/>
          <w:lang w:val="en-US" w:eastAsia="en-US"/>
        </w:rPr>
        <w:t>202</w:t>
      </w:r>
      <w:r>
        <w:rPr>
          <w:rFonts w:hint="eastAsia"/>
          <w:highlight w:val="none"/>
          <w:lang w:val="en-US" w:eastAsia="zh-CN"/>
        </w:rPr>
        <w:t>3</w:t>
      </w:r>
      <w:r>
        <w:rPr>
          <w:rFonts w:hint="eastAsia"/>
          <w:highlight w:val="none"/>
          <w:lang w:val="en-US" w:eastAsia="en-US"/>
        </w:rPr>
        <w:t>年</w:t>
      </w:r>
      <w:r>
        <w:rPr>
          <w:rFonts w:hint="eastAsia"/>
          <w:highlight w:val="none"/>
          <w:lang w:val="en-US" w:eastAsia="zh-CN"/>
        </w:rPr>
        <w:t>市文联不涉及绩效管理结果整改</w:t>
      </w:r>
      <w:r>
        <w:rPr>
          <w:rFonts w:hint="eastAsia"/>
          <w:highlight w:val="none"/>
          <w:lang w:val="en-US" w:eastAsia="en-US"/>
        </w:rPr>
        <w:t>。</w:t>
      </w:r>
    </w:p>
    <w:p w14:paraId="23E52487">
      <w:pPr>
        <w:pStyle w:val="3"/>
        <w:rPr>
          <w:rFonts w:hint="eastAsia"/>
          <w:highlight w:val="none"/>
          <w:lang w:val="en-US" w:eastAsia="en-US"/>
        </w:rPr>
      </w:pPr>
      <w:r>
        <w:rPr>
          <w:rFonts w:hint="eastAsia"/>
          <w:b/>
          <w:bCs/>
          <w:highlight w:val="none"/>
          <w:lang w:val="en-US" w:eastAsia="zh-CN"/>
        </w:rPr>
        <w:t>不涉及</w:t>
      </w:r>
      <w:r>
        <w:rPr>
          <w:rFonts w:hint="eastAsia"/>
          <w:b/>
          <w:bCs/>
          <w:highlight w:val="none"/>
          <w:lang w:val="en-US" w:eastAsia="en-US"/>
        </w:rPr>
        <w:t>应用反馈。</w:t>
      </w:r>
      <w:r>
        <w:rPr>
          <w:rFonts w:hint="eastAsia"/>
          <w:highlight w:val="none"/>
          <w:lang w:val="en-US" w:eastAsia="en-US"/>
        </w:rPr>
        <w:t>2023年市文联不涉及向财政部门反馈应用绩效结果报告。</w:t>
      </w:r>
    </w:p>
    <w:p w14:paraId="209F0CB1">
      <w:pPr>
        <w:pStyle w:val="5"/>
        <w:pageBreakBefore w:val="0"/>
        <w:widowControl w:val="0"/>
        <w:numPr>
          <w:ilvl w:val="2"/>
          <w:numId w:val="0"/>
        </w:numPr>
        <w:kinsoku/>
        <w:wordWrap/>
        <w:overflowPunct/>
        <w:topLinePunct w:val="0"/>
        <w:autoSpaceDE/>
        <w:autoSpaceDN/>
        <w:bidi w:val="0"/>
        <w:snapToGrid/>
        <w:spacing w:before="0" w:after="0"/>
        <w:ind w:firstLine="640" w:firstLineChars="200"/>
        <w:textAlignment w:val="auto"/>
        <w:rPr>
          <w:rFonts w:hint="eastAsia"/>
          <w:highlight w:val="none"/>
          <w:lang w:val="en-US" w:eastAsia="en-US"/>
        </w:rPr>
      </w:pPr>
      <w:r>
        <w:rPr>
          <w:rFonts w:hint="eastAsia"/>
          <w:highlight w:val="none"/>
          <w:lang w:val="en-US" w:eastAsia="en-US"/>
        </w:rPr>
        <w:t>（</w:t>
      </w:r>
      <w:r>
        <w:rPr>
          <w:rFonts w:hint="eastAsia"/>
          <w:highlight w:val="none"/>
          <w:lang w:val="en-US" w:eastAsia="zh-CN"/>
        </w:rPr>
        <w:t>7</w:t>
      </w:r>
      <w:r>
        <w:rPr>
          <w:rFonts w:hint="eastAsia"/>
          <w:highlight w:val="none"/>
          <w:lang w:val="en-US" w:eastAsia="en-US"/>
        </w:rPr>
        <w:t>）自评质量</w:t>
      </w:r>
    </w:p>
    <w:p w14:paraId="44CE2335">
      <w:pPr>
        <w:pStyle w:val="3"/>
        <w:rPr>
          <w:rFonts w:hint="eastAsia"/>
          <w:highlight w:val="none"/>
          <w:lang w:val="en-US" w:eastAsia="en-US"/>
        </w:rPr>
      </w:pPr>
      <w:r>
        <w:rPr>
          <w:rFonts w:hint="eastAsia"/>
          <w:b/>
          <w:bCs/>
          <w:highlight w:val="none"/>
          <w:lang w:val="en-US" w:eastAsia="en-US"/>
        </w:rPr>
        <w:t>自评质量及准确性较好。</w:t>
      </w:r>
      <w:r>
        <w:rPr>
          <w:rFonts w:hint="eastAsia"/>
          <w:highlight w:val="none"/>
          <w:lang w:val="en-US" w:eastAsia="en-US"/>
        </w:rPr>
        <w:t>部门整体支出自评综合得分7</w:t>
      </w:r>
      <w:r>
        <w:rPr>
          <w:rFonts w:hint="eastAsia"/>
          <w:highlight w:val="none"/>
          <w:lang w:val="en-US" w:eastAsia="zh-CN"/>
        </w:rPr>
        <w:t>8.5</w:t>
      </w:r>
      <w:r>
        <w:rPr>
          <w:rFonts w:hint="eastAsia"/>
          <w:highlight w:val="none"/>
          <w:lang w:val="en-US" w:eastAsia="en-US"/>
        </w:rPr>
        <w:t>分，评价组重点</w:t>
      </w:r>
      <w:r>
        <w:rPr>
          <w:rFonts w:hint="eastAsia"/>
          <w:highlight w:val="none"/>
          <w:lang w:val="en-US" w:eastAsia="en-US"/>
        </w:rPr>
        <w:t>绩效评价得分</w:t>
      </w:r>
      <w:r>
        <w:rPr>
          <w:rFonts w:hint="eastAsia"/>
          <w:highlight w:val="none"/>
          <w:lang w:val="en-US" w:eastAsia="zh-CN"/>
        </w:rPr>
        <w:t>82.2</w:t>
      </w:r>
      <w:r>
        <w:rPr>
          <w:rFonts w:hint="eastAsia"/>
          <w:highlight w:val="none"/>
          <w:lang w:val="en-US" w:eastAsia="en-US"/>
        </w:rPr>
        <w:t>分（不含“自评准确”指标分数），自评差异率为</w:t>
      </w:r>
      <w:r>
        <w:rPr>
          <w:rFonts w:hint="eastAsia"/>
          <w:highlight w:val="none"/>
          <w:lang w:val="en-US" w:eastAsia="zh-CN"/>
        </w:rPr>
        <w:t>4.71</w:t>
      </w:r>
      <w:r>
        <w:rPr>
          <w:rFonts w:hint="eastAsia"/>
          <w:highlight w:val="none"/>
          <w:lang w:val="en-US" w:eastAsia="en-US"/>
        </w:rPr>
        <w:t>%，自评质量</w:t>
      </w:r>
      <w:r>
        <w:rPr>
          <w:rFonts w:hint="eastAsia"/>
          <w:highlight w:val="none"/>
          <w:lang w:val="en-US" w:eastAsia="en-US"/>
        </w:rPr>
        <w:t>及准确性较好。</w:t>
      </w:r>
    </w:p>
    <w:p w14:paraId="238E4285">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highlight w:val="none"/>
          <w:lang w:val="en-US" w:eastAsia="zh-CN"/>
        </w:rPr>
      </w:pPr>
      <w:bookmarkStart w:id="21" w:name="_Toc23820"/>
      <w:r>
        <w:rPr>
          <w:rFonts w:hint="eastAsia"/>
          <w:highlight w:val="none"/>
          <w:lang w:val="en-US" w:eastAsia="zh-CN"/>
        </w:rPr>
        <w:t>五、存在问题及改进措施</w:t>
      </w:r>
      <w:bookmarkEnd w:id="21"/>
    </w:p>
    <w:p w14:paraId="0E3AF838">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highlight w:val="none"/>
          <w:lang w:val="en-US" w:eastAsia="zh-CN"/>
        </w:rPr>
      </w:pPr>
      <w:bookmarkStart w:id="22" w:name="_Toc17332"/>
      <w:r>
        <w:rPr>
          <w:rFonts w:hint="eastAsia"/>
          <w:highlight w:val="none"/>
          <w:lang w:val="en-US" w:eastAsia="zh-CN"/>
        </w:rPr>
        <w:t>（一）主要问题及原因分析</w:t>
      </w:r>
      <w:bookmarkEnd w:id="22"/>
    </w:p>
    <w:p w14:paraId="2AA4C9D5">
      <w:pPr>
        <w:pStyle w:val="5"/>
        <w:pageBreakBefore w:val="0"/>
        <w:widowControl w:val="0"/>
        <w:numPr>
          <w:ilvl w:val="2"/>
          <w:numId w:val="0"/>
        </w:numPr>
        <w:kinsoku/>
        <w:wordWrap/>
        <w:overflowPunct/>
        <w:topLinePunct w:val="0"/>
        <w:autoSpaceDE/>
        <w:autoSpaceDN/>
        <w:bidi w:val="0"/>
        <w:snapToGrid/>
        <w:spacing w:before="0" w:after="0"/>
        <w:ind w:firstLine="640" w:firstLineChars="200"/>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1.绩效管理有待提升</w:t>
      </w:r>
    </w:p>
    <w:p w14:paraId="111BF3C6">
      <w:pPr>
        <w:pStyle w:val="3"/>
        <w:rPr>
          <w:rFonts w:hint="eastAsia"/>
          <w:highlight w:val="none"/>
          <w:lang w:val="en-US" w:eastAsia="zh-CN"/>
        </w:rPr>
      </w:pPr>
      <w:r>
        <w:rPr>
          <w:rFonts w:hint="eastAsia"/>
          <w:highlight w:val="none"/>
          <w:lang w:val="en-US" w:eastAsia="zh-CN"/>
        </w:rPr>
        <w:t>（1）部门整体绩效目标部分指标值未达到量化标准，目标制定规范性有待加强。如：社会效益指标中“城市文化挖掘”的指标值为“推动全市文学艺术持续繁荣发展，挖掘、推广遂宁地域特色文化，提升城市影响力和美誉度。”；满意度指标中“社会认可”的指标值为“受到党委肯定，无社会负面评价。”，指标值未达到量化标准。4个项目的质量指标的指标内容与质量不相关，均为数量指标内容，例如：“《川中文学》《遂宁诗词》办刊经费”质量指标为“发表作品大于600件”，内容为数量目标，与质量不相关。</w:t>
      </w:r>
    </w:p>
    <w:p w14:paraId="08C877C7">
      <w:pPr>
        <w:pStyle w:val="3"/>
        <w:rPr>
          <w:rFonts w:hint="eastAsia"/>
          <w:highlight w:val="none"/>
          <w:lang w:val="en-US" w:eastAsia="zh-CN"/>
        </w:rPr>
      </w:pPr>
      <w:r>
        <w:rPr>
          <w:rFonts w:hint="eastAsia"/>
          <w:highlight w:val="none"/>
          <w:lang w:val="en-US" w:eastAsia="zh-CN"/>
        </w:rPr>
        <w:t>（2）市财政未将绩效目标纳入部门党组（委）会（办公会）集体决策范围。</w:t>
      </w:r>
    </w:p>
    <w:p w14:paraId="7198B76B">
      <w:pPr>
        <w:pStyle w:val="5"/>
        <w:pageBreakBefore w:val="0"/>
        <w:widowControl w:val="0"/>
        <w:numPr>
          <w:ilvl w:val="2"/>
          <w:numId w:val="0"/>
        </w:numPr>
        <w:kinsoku/>
        <w:wordWrap/>
        <w:overflowPunct/>
        <w:topLinePunct w:val="0"/>
        <w:autoSpaceDE/>
        <w:autoSpaceDN/>
        <w:bidi w:val="0"/>
        <w:snapToGrid/>
        <w:spacing w:before="0" w:after="0"/>
        <w:ind w:firstLine="640" w:firstLineChars="200"/>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2.预算执行进度存在偏离</w:t>
      </w:r>
    </w:p>
    <w:p w14:paraId="64E5ADC6">
      <w:pPr>
        <w:pStyle w:val="3"/>
        <w:rPr>
          <w:rFonts w:hint="eastAsia"/>
          <w:highlight w:val="none"/>
          <w:lang w:val="en-US" w:eastAsia="zh-CN"/>
        </w:rPr>
      </w:pPr>
      <w:r>
        <w:rPr>
          <w:rFonts w:hint="eastAsia"/>
          <w:highlight w:val="none"/>
          <w:lang w:val="en-US" w:eastAsia="zh-CN"/>
        </w:rPr>
        <w:t>单位6月、9月、11月预算执行进度为31.7%、60.8%、71.4%，分别未达到40%、67.5%、82.5%目标进度，预算执行进度有待提升。</w:t>
      </w:r>
    </w:p>
    <w:p w14:paraId="7F3D26F9">
      <w:pPr>
        <w:pStyle w:val="5"/>
        <w:pageBreakBefore w:val="0"/>
        <w:widowControl w:val="0"/>
        <w:numPr>
          <w:ilvl w:val="2"/>
          <w:numId w:val="0"/>
        </w:numPr>
        <w:kinsoku/>
        <w:wordWrap/>
        <w:overflowPunct/>
        <w:topLinePunct w:val="0"/>
        <w:autoSpaceDE/>
        <w:autoSpaceDN/>
        <w:bidi w:val="0"/>
        <w:snapToGrid/>
        <w:spacing w:before="0" w:after="0"/>
        <w:ind w:firstLine="640" w:firstLineChars="200"/>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3.预算绩效挂钩制度不健全</w:t>
      </w:r>
    </w:p>
    <w:p w14:paraId="03464A43">
      <w:pPr>
        <w:pStyle w:val="3"/>
        <w:rPr>
          <w:rFonts w:hint="default"/>
          <w:highlight w:val="none"/>
          <w:lang w:val="en-US" w:eastAsia="zh-CN"/>
        </w:rPr>
      </w:pPr>
      <w:r>
        <w:rPr>
          <w:rFonts w:hint="default"/>
          <w:highlight w:val="none"/>
          <w:lang w:val="en-US" w:eastAsia="zh-CN"/>
        </w:rPr>
        <w:t>市文联未将内设机构和下属单位绩效自评纳入考核体系，未建立对内设机构和下属单位预算与绩效挂钩的机制。</w:t>
      </w:r>
    </w:p>
    <w:p w14:paraId="7F3525DC">
      <w:pPr>
        <w:pStyle w:val="4"/>
        <w:keepNext/>
        <w:keepLines/>
        <w:pageBreakBefore w:val="0"/>
        <w:widowControl w:val="0"/>
        <w:numPr>
          <w:ilvl w:val="1"/>
          <w:numId w:val="0"/>
        </w:numPr>
        <w:kinsoku/>
        <w:wordWrap/>
        <w:overflowPunct/>
        <w:topLinePunct w:val="0"/>
        <w:autoSpaceDE/>
        <w:autoSpaceDN/>
        <w:bidi w:val="0"/>
        <w:adjustRightInd w:val="0"/>
        <w:snapToGrid/>
        <w:ind w:leftChars="200"/>
        <w:textAlignment w:val="auto"/>
        <w:rPr>
          <w:rFonts w:hint="eastAsia"/>
          <w:highlight w:val="none"/>
          <w:lang w:val="en-US" w:eastAsia="zh-CN"/>
        </w:rPr>
      </w:pPr>
      <w:bookmarkStart w:id="23" w:name="_Toc20997"/>
      <w:r>
        <w:rPr>
          <w:rFonts w:hint="eastAsia"/>
          <w:highlight w:val="none"/>
          <w:lang w:val="en-US" w:eastAsia="zh-CN"/>
        </w:rPr>
        <w:t>（二）改进方向和具体措施</w:t>
      </w:r>
      <w:bookmarkEnd w:id="23"/>
    </w:p>
    <w:p w14:paraId="2CD2582F">
      <w:pPr>
        <w:pStyle w:val="5"/>
        <w:pageBreakBefore w:val="0"/>
        <w:widowControl w:val="0"/>
        <w:numPr>
          <w:ilvl w:val="2"/>
          <w:numId w:val="0"/>
        </w:numPr>
        <w:kinsoku/>
        <w:wordWrap/>
        <w:overflowPunct/>
        <w:topLinePunct w:val="0"/>
        <w:autoSpaceDE/>
        <w:autoSpaceDN/>
        <w:bidi w:val="0"/>
        <w:snapToGrid/>
        <w:spacing w:before="0" w:after="0"/>
        <w:ind w:firstLine="640" w:firstLineChars="200"/>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1.提升绩效管理质量</w:t>
      </w:r>
    </w:p>
    <w:p w14:paraId="59E0347B">
      <w:pPr>
        <w:pStyle w:val="3"/>
        <w:rPr>
          <w:rFonts w:hint="default"/>
          <w:highlight w:val="none"/>
          <w:lang w:val="en-US" w:eastAsia="zh-CN"/>
        </w:rPr>
      </w:pPr>
      <w:r>
        <w:rPr>
          <w:rFonts w:hint="eastAsia"/>
          <w:highlight w:val="none"/>
          <w:lang w:val="en-US" w:eastAsia="zh-CN"/>
        </w:rPr>
        <w:t>（1）提升效益指标细化、量化程度。效益指标应反映相关产出对社会发展带来的影响和效果，尽量以细化、量化的指标体现，达到可衡量的标准。</w:t>
      </w:r>
    </w:p>
    <w:p w14:paraId="0D6670D5">
      <w:pPr>
        <w:pStyle w:val="3"/>
        <w:rPr>
          <w:rFonts w:hint="default"/>
          <w:highlight w:val="none"/>
          <w:lang w:val="en-US" w:eastAsia="zh-CN"/>
        </w:rPr>
      </w:pPr>
      <w:r>
        <w:rPr>
          <w:rFonts w:hint="eastAsia"/>
          <w:highlight w:val="none"/>
          <w:lang w:val="en-US" w:eastAsia="zh-CN"/>
        </w:rPr>
        <w:t>（2）建议设置满意度指标时，指标值应该为预期达到的满意程度，以百分比的形式具体体现相关受益群体的预期满意值，如“x%”，确保达到量化、可衡量的标准。</w:t>
      </w:r>
    </w:p>
    <w:p w14:paraId="6D401447">
      <w:pPr>
        <w:pStyle w:val="3"/>
        <w:rPr>
          <w:rFonts w:hint="eastAsia"/>
          <w:highlight w:val="none"/>
          <w:lang w:val="en-US" w:eastAsia="zh-CN"/>
        </w:rPr>
      </w:pPr>
      <w:r>
        <w:rPr>
          <w:rFonts w:hint="eastAsia"/>
          <w:highlight w:val="none"/>
          <w:lang w:val="en-US" w:eastAsia="zh-CN"/>
        </w:rPr>
        <w:t>（3）建议设置质量指标的目标值时，参考相关文件或任务要求，合理设定需达到的质量目标，具体为合格程度、预期通过验收的程度、考试通过人数等，确保质量目标与质量相关，不断提升项目实施的质量标准和实施效果。</w:t>
      </w:r>
    </w:p>
    <w:p w14:paraId="073585C6">
      <w:pPr>
        <w:pStyle w:val="3"/>
        <w:rPr>
          <w:rFonts w:hint="eastAsia"/>
          <w:highlight w:val="none"/>
          <w:lang w:val="en-US" w:eastAsia="zh-CN"/>
        </w:rPr>
      </w:pPr>
      <w:r>
        <w:rPr>
          <w:rFonts w:hint="eastAsia"/>
          <w:highlight w:val="none"/>
          <w:lang w:val="en-US" w:eastAsia="zh-CN"/>
        </w:rPr>
        <w:t>（4）健全培训机制，搞好人员培训。行政事业单位要建立完善的培训机制，加强对工作人员绩效评价知识的培训，单位可以聘请绩效评价领域中的权威专家授课，安排与绩效管理评价有关的理论知识和实际操作考核，让全部参与绩效评价的工作人员充分认识绩效评价在单位管理工作中的重要性、掌握绩效评价体系和标准，提升工作的效率。在培训过程中通过相互交流找出现有绩效目标的不足之处并及时改进，从而有效提升绩效目标的可执行性。</w:t>
      </w:r>
    </w:p>
    <w:p w14:paraId="098B9930">
      <w:pPr>
        <w:pStyle w:val="3"/>
        <w:rPr>
          <w:rFonts w:hint="eastAsia"/>
          <w:highlight w:val="none"/>
          <w:lang w:val="en-US" w:eastAsia="zh-CN"/>
        </w:rPr>
      </w:pPr>
      <w:r>
        <w:rPr>
          <w:rFonts w:hint="eastAsia"/>
          <w:highlight w:val="none"/>
          <w:lang w:val="en-US" w:eastAsia="zh-CN"/>
        </w:rPr>
        <w:t>（5）建议单位在年初编制部门整体及项目绩效目标时，将绩效目标随同部门预算提交单位党组（委）会集体决策审议，针对绩效目标设置的可行性、科学性、合理性及细化量化程度进行讨论，进一步提高绩效目标编制质量。</w:t>
      </w:r>
    </w:p>
    <w:p w14:paraId="71CCDA01">
      <w:pPr>
        <w:pStyle w:val="5"/>
        <w:pageBreakBefore w:val="0"/>
        <w:widowControl w:val="0"/>
        <w:numPr>
          <w:ilvl w:val="2"/>
          <w:numId w:val="0"/>
        </w:numPr>
        <w:kinsoku/>
        <w:wordWrap/>
        <w:overflowPunct/>
        <w:topLinePunct w:val="0"/>
        <w:autoSpaceDE/>
        <w:autoSpaceDN/>
        <w:bidi w:val="0"/>
        <w:snapToGrid/>
        <w:spacing w:before="0" w:after="0"/>
        <w:ind w:firstLine="640" w:firstLineChars="200"/>
        <w:textAlignment w:val="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2.提高预算执行进度</w:t>
      </w:r>
    </w:p>
    <w:p w14:paraId="073D8CD6">
      <w:pPr>
        <w:pStyle w:val="3"/>
        <w:rPr>
          <w:rFonts w:hint="eastAsia"/>
          <w:highlight w:val="none"/>
          <w:lang w:val="en-US" w:eastAsia="zh-CN"/>
        </w:rPr>
      </w:pPr>
      <w:r>
        <w:rPr>
          <w:rFonts w:hint="eastAsia"/>
          <w:highlight w:val="none"/>
          <w:lang w:val="en-US" w:eastAsia="zh-CN"/>
        </w:rPr>
        <w:t>建议单位多角度提高预算执行进度，一是提高预算编制的科学性，预算编制科学性是决定预算可否有序执行的前提，单位应该建立长期项目储备库，延长预算准备时间和周期，尽量把资金安排到可行、可靠、有效的优质项目上；二是定期公示，把预算执行进度与工作执行进度牢牢绑定，定期进行“工作执行进度”公示，取代原有简单的“预算执行进度”公示，从业务角度推进执行进度；形成预算执行进度监督工作机制，将预算执行工作全员化、常规化、制度化，明确奖惩制度，落实责任到科室到人；三是加强衔接工作，各科室要加强采购、验收、支付等业务环节的衔接和配合，提高工作效率，尽可能缩短采购周期、验收周期、支付周期。同时做好资金预测、合同管理，提前应对预算执行进度问题。</w:t>
      </w:r>
    </w:p>
    <w:p w14:paraId="129A4D55">
      <w:pPr>
        <w:pStyle w:val="5"/>
        <w:pageBreakBefore w:val="0"/>
        <w:widowControl w:val="0"/>
        <w:numPr>
          <w:ilvl w:val="2"/>
          <w:numId w:val="0"/>
        </w:numPr>
        <w:kinsoku/>
        <w:wordWrap/>
        <w:overflowPunct/>
        <w:topLinePunct w:val="0"/>
        <w:autoSpaceDE/>
        <w:autoSpaceDN/>
        <w:bidi w:val="0"/>
        <w:snapToGrid/>
        <w:spacing w:before="0" w:after="0"/>
        <w:ind w:firstLine="640" w:firstLineChars="200"/>
        <w:textAlignment w:val="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3.</w:t>
      </w:r>
      <w:r>
        <w:rPr>
          <w:rFonts w:hint="eastAsia" w:cs="Times New Roman"/>
          <w:highlight w:val="none"/>
          <w:lang w:val="en-US" w:eastAsia="zh-CN"/>
        </w:rPr>
        <w:t>制定预算绩效挂钩制度</w:t>
      </w:r>
    </w:p>
    <w:p w14:paraId="353842A5">
      <w:pPr>
        <w:pStyle w:val="3"/>
        <w:rPr>
          <w:rFonts w:hint="eastAsia" w:cs="Times New Roman"/>
          <w:highlight w:val="none"/>
          <w:lang w:val="en-US" w:eastAsia="zh-CN"/>
        </w:rPr>
      </w:pPr>
      <w:r>
        <w:rPr>
          <w:rFonts w:hint="eastAsia" w:cs="Times New Roman"/>
          <w:highlight w:val="none"/>
          <w:lang w:val="en-US" w:eastAsia="zh-CN"/>
        </w:rPr>
        <w:t>建议单位根据要求，建立规范、完善的预算绩效挂钩制度，将内设机构和下属单位绩效自评纳入考核体系，明确内设机构和下属单位预算与绩效挂钩，进一步规范预算绩效管理工作，推动预算绩效管理上台阶。</w:t>
      </w:r>
    </w:p>
    <w:p w14:paraId="189B7CE8">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highlight w:val="none"/>
          <w:lang w:val="en-US" w:eastAsia="zh-CN"/>
        </w:rPr>
      </w:pPr>
      <w:bookmarkStart w:id="24" w:name="_Toc4073"/>
      <w:r>
        <w:rPr>
          <w:rFonts w:hint="eastAsia"/>
          <w:highlight w:val="none"/>
          <w:lang w:val="en-US" w:eastAsia="zh-CN"/>
        </w:rPr>
        <w:t>六、附件</w:t>
      </w:r>
      <w:bookmarkEnd w:id="24"/>
    </w:p>
    <w:p w14:paraId="3C1EC681">
      <w:pPr>
        <w:pStyle w:val="3"/>
        <w:rPr>
          <w:rFonts w:hint="eastAsia"/>
          <w:highlight w:val="none"/>
          <w:lang w:val="en-US" w:eastAsia="zh-CN"/>
        </w:rPr>
      </w:pPr>
      <w:r>
        <w:rPr>
          <w:rFonts w:hint="eastAsia"/>
          <w:highlight w:val="none"/>
          <w:lang w:val="en-US" w:eastAsia="zh-CN"/>
        </w:rPr>
        <w:t>附件：1.部门整体支出绩效评价指标体系评分表</w:t>
      </w:r>
    </w:p>
    <w:p w14:paraId="6FDC6E2E">
      <w:pPr>
        <w:pStyle w:val="3"/>
        <w:ind w:firstLine="1600" w:firstLineChars="500"/>
        <w:rPr>
          <w:rFonts w:hint="default"/>
          <w:highlight w:val="none"/>
          <w:lang w:val="en-US" w:eastAsia="zh-CN"/>
        </w:rPr>
      </w:pPr>
      <w:r>
        <w:rPr>
          <w:rFonts w:hint="eastAsia"/>
          <w:highlight w:val="none"/>
          <w:lang w:val="en-US" w:eastAsia="zh-CN"/>
        </w:rPr>
        <w:t>2.部门整体支出控制表</w:t>
      </w:r>
    </w:p>
    <w:sectPr>
      <w:footerReference r:id="rId3" w:type="default"/>
      <w:pgSz w:w="11906" w:h="16838"/>
      <w:pgMar w:top="1440" w:right="1797" w:bottom="1440" w:left="179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小标宋">
    <w:altName w:val="宋体"/>
    <w:panose1 w:val="00000000000000000000"/>
    <w:charset w:val="86"/>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563CE">
    <w:pPr>
      <w:pStyle w:val="1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38571208"/>
                            <w:docPartObj>
                              <w:docPartGallery w:val="autotext"/>
                            </w:docPartObj>
                          </w:sdtPr>
                          <w:sdtContent>
                            <w:p w14:paraId="09C2264C">
                              <w:pPr>
                                <w:pStyle w:val="15"/>
                                <w:jc w:val="center"/>
                              </w:pPr>
                              <w:r>
                                <w:fldChar w:fldCharType="begin"/>
                              </w:r>
                              <w:r>
                                <w:instrText xml:space="preserve">PAGE   \* MERGEFORMAT</w:instrText>
                              </w:r>
                              <w:r>
                                <w:fldChar w:fldCharType="separate"/>
                              </w:r>
                              <w:r>
                                <w:rPr>
                                  <w:lang w:val="zh-CN"/>
                                </w:rPr>
                                <w:t>1</w:t>
                              </w:r>
                              <w:r>
                                <w:fldChar w:fldCharType="end"/>
                              </w:r>
                            </w:p>
                          </w:sdtContent>
                        </w:sdt>
                        <w:p w14:paraId="4570D34D"/>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338571208"/>
                      <w:docPartObj>
                        <w:docPartGallery w:val="autotext"/>
                      </w:docPartObj>
                    </w:sdtPr>
                    <w:sdtContent>
                      <w:p w14:paraId="09C2264C">
                        <w:pPr>
                          <w:pStyle w:val="15"/>
                          <w:jc w:val="center"/>
                        </w:pPr>
                        <w:r>
                          <w:fldChar w:fldCharType="begin"/>
                        </w:r>
                        <w:r>
                          <w:instrText xml:space="preserve">PAGE   \* MERGEFORMAT</w:instrText>
                        </w:r>
                        <w:r>
                          <w:fldChar w:fldCharType="separate"/>
                        </w:r>
                        <w:r>
                          <w:rPr>
                            <w:lang w:val="zh-CN"/>
                          </w:rPr>
                          <w:t>1</w:t>
                        </w:r>
                        <w:r>
                          <w:fldChar w:fldCharType="end"/>
                        </w:r>
                      </w:p>
                    </w:sdtContent>
                  </w:sdt>
                  <w:p w14:paraId="4570D34D"/>
                </w:txbxContent>
              </v:textbox>
            </v:shape>
          </w:pict>
        </mc:Fallback>
      </mc:AlternateContent>
    </w:r>
  </w:p>
  <w:p w14:paraId="60F61582">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0671B8"/>
    <w:multiLevelType w:val="multilevel"/>
    <w:tmpl w:val="610671B8"/>
    <w:lvl w:ilvl="0" w:tentative="0">
      <w:start w:val="1"/>
      <w:numFmt w:val="chineseCountingThousand"/>
      <w:pStyle w:val="2"/>
      <w:suff w:val="nothing"/>
      <w:lvlText w:val="%1、"/>
      <w:lvlJc w:val="left"/>
      <w:pPr>
        <w:ind w:left="425" w:hanging="425"/>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zh-CN"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chineseCountingThousand"/>
      <w:pStyle w:val="4"/>
      <w:suff w:val="nothing"/>
      <w:lvlText w:val="（%2）"/>
      <w:lvlJc w:val="left"/>
      <w:pPr>
        <w:ind w:left="979" w:hanging="567"/>
      </w:pPr>
      <w:rPr>
        <w:rFonts w:hint="eastAsia"/>
      </w:rPr>
    </w:lvl>
    <w:lvl w:ilvl="2" w:tentative="0">
      <w:start w:val="1"/>
      <w:numFmt w:val="decimal"/>
      <w:pStyle w:val="5"/>
      <w:suff w:val="nothing"/>
      <w:lvlText w:val="%3. "/>
      <w:lvlJc w:val="left"/>
      <w:pPr>
        <w:ind w:left="992" w:hanging="567"/>
      </w:pPr>
      <w:rPr>
        <w:rFonts w:hint="eastAsia"/>
      </w:rPr>
    </w:lvl>
    <w:lvl w:ilvl="3" w:tentative="0">
      <w:start w:val="1"/>
      <w:numFmt w:val="decimal"/>
      <w:pStyle w:val="6"/>
      <w:suff w:val="nothing"/>
      <w:lvlText w:val="（%4）"/>
      <w:lvlJc w:val="left"/>
      <w:pPr>
        <w:ind w:left="992" w:hanging="425"/>
      </w:pPr>
      <w:rPr>
        <w:rFonts w:hint="eastAsia"/>
      </w:rPr>
    </w:lvl>
    <w:lvl w:ilvl="4" w:tentative="0">
      <w:start w:val="1"/>
      <w:numFmt w:val="decimal"/>
      <w:pStyle w:val="7"/>
      <w:suff w:val="nothing"/>
      <w:lvlText w:val="%5）"/>
      <w:lvlJc w:val="left"/>
      <w:pPr>
        <w:ind w:left="992" w:hanging="113"/>
      </w:pPr>
      <w:rPr>
        <w:rFonts w:hint="eastAsia"/>
      </w:rPr>
    </w:lvl>
    <w:lvl w:ilvl="5" w:tentative="0">
      <w:start w:val="1"/>
      <w:numFmt w:val="decimal"/>
      <w:pStyle w:val="49"/>
      <w:suff w:val="nothing"/>
      <w:lvlText w:val="附件%6 "/>
      <w:lvlJc w:val="left"/>
      <w:pPr>
        <w:ind w:left="0" w:firstLine="0"/>
      </w:pPr>
      <w:rPr>
        <w:rFonts w:hint="eastAsia"/>
      </w:rPr>
    </w:lvl>
    <w:lvl w:ilvl="6" w:tentative="0">
      <w:start w:val="1"/>
      <w:numFmt w:val="chineseCountingThousand"/>
      <w:suff w:val="nothing"/>
      <w:lvlText w:val="%7、"/>
      <w:lvlJc w:val="left"/>
      <w:pPr>
        <w:ind w:left="992" w:hanging="567"/>
      </w:pPr>
      <w:rPr>
        <w:rFonts w:hint="eastAsia"/>
      </w:rPr>
    </w:lvl>
    <w:lvl w:ilvl="7" w:tentative="0">
      <w:start w:val="1"/>
      <w:numFmt w:val="chineseCountingThousand"/>
      <w:suff w:val="nothing"/>
      <w:lvlText w:val="（%8）"/>
      <w:lvlJc w:val="left"/>
      <w:pPr>
        <w:ind w:left="992" w:hanging="567"/>
      </w:pPr>
      <w:rPr>
        <w:rFonts w:hint="eastAsia"/>
      </w:rPr>
    </w:lvl>
    <w:lvl w:ilvl="8" w:tentative="0">
      <w:start w:val="1"/>
      <w:numFmt w:val="decimal"/>
      <w:suff w:val="nothing"/>
      <w:lvlText w:val="%9. "/>
      <w:lvlJc w:val="left"/>
      <w:pPr>
        <w:ind w:left="992" w:hanging="567"/>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c1NGUzMmM3OTRmNmEyNjNkZWY1ZWM2ZTQwYmU4OWYifQ=="/>
  </w:docVars>
  <w:rsids>
    <w:rsidRoot w:val="00E20797"/>
    <w:rsid w:val="00000B4E"/>
    <w:rsid w:val="0000109B"/>
    <w:rsid w:val="000023C8"/>
    <w:rsid w:val="00002AEF"/>
    <w:rsid w:val="00002DC5"/>
    <w:rsid w:val="000035EF"/>
    <w:rsid w:val="00004579"/>
    <w:rsid w:val="000048DA"/>
    <w:rsid w:val="00005443"/>
    <w:rsid w:val="00006668"/>
    <w:rsid w:val="00006D06"/>
    <w:rsid w:val="00007C20"/>
    <w:rsid w:val="00010C43"/>
    <w:rsid w:val="0001309B"/>
    <w:rsid w:val="0001466B"/>
    <w:rsid w:val="00014DBC"/>
    <w:rsid w:val="00015FD7"/>
    <w:rsid w:val="00016829"/>
    <w:rsid w:val="00016C6E"/>
    <w:rsid w:val="00021513"/>
    <w:rsid w:val="0002584E"/>
    <w:rsid w:val="00026897"/>
    <w:rsid w:val="00026906"/>
    <w:rsid w:val="00026F38"/>
    <w:rsid w:val="00030A47"/>
    <w:rsid w:val="00031441"/>
    <w:rsid w:val="00031FE3"/>
    <w:rsid w:val="00032384"/>
    <w:rsid w:val="00032D0A"/>
    <w:rsid w:val="0003333C"/>
    <w:rsid w:val="00035C58"/>
    <w:rsid w:val="00036C15"/>
    <w:rsid w:val="0004038B"/>
    <w:rsid w:val="00040FD8"/>
    <w:rsid w:val="000410D9"/>
    <w:rsid w:val="00042697"/>
    <w:rsid w:val="00042EDD"/>
    <w:rsid w:val="00044534"/>
    <w:rsid w:val="00044872"/>
    <w:rsid w:val="00044ACC"/>
    <w:rsid w:val="00044DD5"/>
    <w:rsid w:val="00044E5C"/>
    <w:rsid w:val="00046028"/>
    <w:rsid w:val="00046D37"/>
    <w:rsid w:val="00051014"/>
    <w:rsid w:val="000522D1"/>
    <w:rsid w:val="00052E6E"/>
    <w:rsid w:val="0005304B"/>
    <w:rsid w:val="000532F8"/>
    <w:rsid w:val="00055B1A"/>
    <w:rsid w:val="0005634B"/>
    <w:rsid w:val="00057110"/>
    <w:rsid w:val="00057150"/>
    <w:rsid w:val="00057A64"/>
    <w:rsid w:val="00060418"/>
    <w:rsid w:val="000630E7"/>
    <w:rsid w:val="00063F49"/>
    <w:rsid w:val="0006456F"/>
    <w:rsid w:val="000662E9"/>
    <w:rsid w:val="000676D5"/>
    <w:rsid w:val="00067EEB"/>
    <w:rsid w:val="000708FF"/>
    <w:rsid w:val="00070D47"/>
    <w:rsid w:val="00072AEB"/>
    <w:rsid w:val="000746DF"/>
    <w:rsid w:val="00074E1E"/>
    <w:rsid w:val="00074EB7"/>
    <w:rsid w:val="00075EB9"/>
    <w:rsid w:val="00081E12"/>
    <w:rsid w:val="00082AE3"/>
    <w:rsid w:val="00083FCC"/>
    <w:rsid w:val="0008404C"/>
    <w:rsid w:val="00090A79"/>
    <w:rsid w:val="0009114D"/>
    <w:rsid w:val="0009352F"/>
    <w:rsid w:val="00095C62"/>
    <w:rsid w:val="000975C5"/>
    <w:rsid w:val="000978AF"/>
    <w:rsid w:val="00097E12"/>
    <w:rsid w:val="000A1171"/>
    <w:rsid w:val="000A4CC5"/>
    <w:rsid w:val="000A67D8"/>
    <w:rsid w:val="000B4076"/>
    <w:rsid w:val="000B5B1A"/>
    <w:rsid w:val="000B696E"/>
    <w:rsid w:val="000B6CA3"/>
    <w:rsid w:val="000C0DDB"/>
    <w:rsid w:val="000C103E"/>
    <w:rsid w:val="000C4AD1"/>
    <w:rsid w:val="000C51D5"/>
    <w:rsid w:val="000D2B77"/>
    <w:rsid w:val="000D39F1"/>
    <w:rsid w:val="000D4DDF"/>
    <w:rsid w:val="000E1A53"/>
    <w:rsid w:val="000E1C27"/>
    <w:rsid w:val="000E1F69"/>
    <w:rsid w:val="000E24A0"/>
    <w:rsid w:val="000E35E8"/>
    <w:rsid w:val="000E3969"/>
    <w:rsid w:val="000E3C1B"/>
    <w:rsid w:val="000E4433"/>
    <w:rsid w:val="000E58CA"/>
    <w:rsid w:val="000E7C19"/>
    <w:rsid w:val="000F2B10"/>
    <w:rsid w:val="000F426F"/>
    <w:rsid w:val="000F5F77"/>
    <w:rsid w:val="000F7CB1"/>
    <w:rsid w:val="0010030D"/>
    <w:rsid w:val="00100595"/>
    <w:rsid w:val="0010257D"/>
    <w:rsid w:val="001029FC"/>
    <w:rsid w:val="00102C1A"/>
    <w:rsid w:val="00102E6B"/>
    <w:rsid w:val="001030A3"/>
    <w:rsid w:val="00103947"/>
    <w:rsid w:val="001054C5"/>
    <w:rsid w:val="00110634"/>
    <w:rsid w:val="001116D8"/>
    <w:rsid w:val="001117CF"/>
    <w:rsid w:val="00111F2E"/>
    <w:rsid w:val="00112025"/>
    <w:rsid w:val="00112591"/>
    <w:rsid w:val="001125F0"/>
    <w:rsid w:val="00113F54"/>
    <w:rsid w:val="001221A2"/>
    <w:rsid w:val="0012314D"/>
    <w:rsid w:val="00123192"/>
    <w:rsid w:val="0012356B"/>
    <w:rsid w:val="0012438F"/>
    <w:rsid w:val="00124767"/>
    <w:rsid w:val="001275F2"/>
    <w:rsid w:val="00127727"/>
    <w:rsid w:val="00130DCD"/>
    <w:rsid w:val="001323EF"/>
    <w:rsid w:val="00133824"/>
    <w:rsid w:val="00133F80"/>
    <w:rsid w:val="00134235"/>
    <w:rsid w:val="0013427D"/>
    <w:rsid w:val="001342E7"/>
    <w:rsid w:val="001343EC"/>
    <w:rsid w:val="0013448D"/>
    <w:rsid w:val="00134545"/>
    <w:rsid w:val="00134B44"/>
    <w:rsid w:val="00134BFA"/>
    <w:rsid w:val="0013581F"/>
    <w:rsid w:val="0013743E"/>
    <w:rsid w:val="001377DF"/>
    <w:rsid w:val="001378BA"/>
    <w:rsid w:val="001403FD"/>
    <w:rsid w:val="00140CEE"/>
    <w:rsid w:val="0014106A"/>
    <w:rsid w:val="0014125E"/>
    <w:rsid w:val="00142386"/>
    <w:rsid w:val="00142F1D"/>
    <w:rsid w:val="0014322F"/>
    <w:rsid w:val="00145E75"/>
    <w:rsid w:val="00146430"/>
    <w:rsid w:val="00147A7E"/>
    <w:rsid w:val="00147F7F"/>
    <w:rsid w:val="001504F4"/>
    <w:rsid w:val="0015093C"/>
    <w:rsid w:val="0015451E"/>
    <w:rsid w:val="001555BD"/>
    <w:rsid w:val="001569ED"/>
    <w:rsid w:val="00156A80"/>
    <w:rsid w:val="001609EC"/>
    <w:rsid w:val="0016144B"/>
    <w:rsid w:val="001620C1"/>
    <w:rsid w:val="00162128"/>
    <w:rsid w:val="00162C35"/>
    <w:rsid w:val="001638A6"/>
    <w:rsid w:val="001642D8"/>
    <w:rsid w:val="00164780"/>
    <w:rsid w:val="00164798"/>
    <w:rsid w:val="00164C2C"/>
    <w:rsid w:val="00167317"/>
    <w:rsid w:val="0016772F"/>
    <w:rsid w:val="001704E9"/>
    <w:rsid w:val="00172053"/>
    <w:rsid w:val="00173CA8"/>
    <w:rsid w:val="00174EF3"/>
    <w:rsid w:val="00175116"/>
    <w:rsid w:val="00176E80"/>
    <w:rsid w:val="001807D4"/>
    <w:rsid w:val="00180E09"/>
    <w:rsid w:val="00181001"/>
    <w:rsid w:val="001812D1"/>
    <w:rsid w:val="0018179B"/>
    <w:rsid w:val="00181FD0"/>
    <w:rsid w:val="0018315D"/>
    <w:rsid w:val="00184394"/>
    <w:rsid w:val="001847A8"/>
    <w:rsid w:val="001851D1"/>
    <w:rsid w:val="00185D8A"/>
    <w:rsid w:val="00187559"/>
    <w:rsid w:val="00190DE0"/>
    <w:rsid w:val="001922EC"/>
    <w:rsid w:val="00192A68"/>
    <w:rsid w:val="00193F69"/>
    <w:rsid w:val="0019537E"/>
    <w:rsid w:val="00196D74"/>
    <w:rsid w:val="0019781C"/>
    <w:rsid w:val="001A03EA"/>
    <w:rsid w:val="001A0A5B"/>
    <w:rsid w:val="001A1A70"/>
    <w:rsid w:val="001A4256"/>
    <w:rsid w:val="001A5318"/>
    <w:rsid w:val="001A59C3"/>
    <w:rsid w:val="001A5C41"/>
    <w:rsid w:val="001B0B77"/>
    <w:rsid w:val="001B1E6C"/>
    <w:rsid w:val="001B24EE"/>
    <w:rsid w:val="001B486E"/>
    <w:rsid w:val="001B5419"/>
    <w:rsid w:val="001B5CC9"/>
    <w:rsid w:val="001C01B7"/>
    <w:rsid w:val="001C108D"/>
    <w:rsid w:val="001C22F0"/>
    <w:rsid w:val="001C30EF"/>
    <w:rsid w:val="001C3518"/>
    <w:rsid w:val="001C400D"/>
    <w:rsid w:val="001C4DE0"/>
    <w:rsid w:val="001C4EDE"/>
    <w:rsid w:val="001C5DDB"/>
    <w:rsid w:val="001C6163"/>
    <w:rsid w:val="001C6DD9"/>
    <w:rsid w:val="001C7527"/>
    <w:rsid w:val="001C75D6"/>
    <w:rsid w:val="001D1D98"/>
    <w:rsid w:val="001D3A4A"/>
    <w:rsid w:val="001D5CB3"/>
    <w:rsid w:val="001D6C72"/>
    <w:rsid w:val="001E0031"/>
    <w:rsid w:val="001E026A"/>
    <w:rsid w:val="001E1462"/>
    <w:rsid w:val="001E29D5"/>
    <w:rsid w:val="001E2D36"/>
    <w:rsid w:val="001E3E7B"/>
    <w:rsid w:val="001E4440"/>
    <w:rsid w:val="001E4793"/>
    <w:rsid w:val="001E4C66"/>
    <w:rsid w:val="001E5599"/>
    <w:rsid w:val="001E5963"/>
    <w:rsid w:val="001E76C4"/>
    <w:rsid w:val="001F049F"/>
    <w:rsid w:val="001F08B7"/>
    <w:rsid w:val="001F40A4"/>
    <w:rsid w:val="001F430E"/>
    <w:rsid w:val="001F6B0A"/>
    <w:rsid w:val="001F76D8"/>
    <w:rsid w:val="001F7E45"/>
    <w:rsid w:val="002003F3"/>
    <w:rsid w:val="00200E7A"/>
    <w:rsid w:val="00201675"/>
    <w:rsid w:val="00201A66"/>
    <w:rsid w:val="00210A12"/>
    <w:rsid w:val="00211326"/>
    <w:rsid w:val="00211C8D"/>
    <w:rsid w:val="002125A9"/>
    <w:rsid w:val="002130E0"/>
    <w:rsid w:val="002140BF"/>
    <w:rsid w:val="00214CA0"/>
    <w:rsid w:val="00215EB6"/>
    <w:rsid w:val="00216F4D"/>
    <w:rsid w:val="00217503"/>
    <w:rsid w:val="00217D3D"/>
    <w:rsid w:val="00217F2F"/>
    <w:rsid w:val="00220894"/>
    <w:rsid w:val="0022245B"/>
    <w:rsid w:val="00222A88"/>
    <w:rsid w:val="002248CE"/>
    <w:rsid w:val="00224E06"/>
    <w:rsid w:val="0022547B"/>
    <w:rsid w:val="002270DC"/>
    <w:rsid w:val="00227758"/>
    <w:rsid w:val="00227E03"/>
    <w:rsid w:val="00233156"/>
    <w:rsid w:val="00234B33"/>
    <w:rsid w:val="002361F2"/>
    <w:rsid w:val="00236734"/>
    <w:rsid w:val="00237C0D"/>
    <w:rsid w:val="00240C62"/>
    <w:rsid w:val="0024144A"/>
    <w:rsid w:val="00241F4F"/>
    <w:rsid w:val="00242D5B"/>
    <w:rsid w:val="00242DD7"/>
    <w:rsid w:val="00243706"/>
    <w:rsid w:val="00244488"/>
    <w:rsid w:val="00245FE0"/>
    <w:rsid w:val="002460FD"/>
    <w:rsid w:val="00246800"/>
    <w:rsid w:val="002507CE"/>
    <w:rsid w:val="00250B06"/>
    <w:rsid w:val="00251D8E"/>
    <w:rsid w:val="002558C7"/>
    <w:rsid w:val="002578FE"/>
    <w:rsid w:val="00257D61"/>
    <w:rsid w:val="00262D0C"/>
    <w:rsid w:val="00264E38"/>
    <w:rsid w:val="00265426"/>
    <w:rsid w:val="00266750"/>
    <w:rsid w:val="002676B1"/>
    <w:rsid w:val="00270F7F"/>
    <w:rsid w:val="00271573"/>
    <w:rsid w:val="00272022"/>
    <w:rsid w:val="0027243B"/>
    <w:rsid w:val="00272D30"/>
    <w:rsid w:val="00272E24"/>
    <w:rsid w:val="0027470A"/>
    <w:rsid w:val="00274EA1"/>
    <w:rsid w:val="00275158"/>
    <w:rsid w:val="00275292"/>
    <w:rsid w:val="00276C40"/>
    <w:rsid w:val="0027775F"/>
    <w:rsid w:val="00277770"/>
    <w:rsid w:val="002778A3"/>
    <w:rsid w:val="00282011"/>
    <w:rsid w:val="00282B51"/>
    <w:rsid w:val="00282F0D"/>
    <w:rsid w:val="00284F07"/>
    <w:rsid w:val="0028559F"/>
    <w:rsid w:val="0028685E"/>
    <w:rsid w:val="00290FBB"/>
    <w:rsid w:val="002913C3"/>
    <w:rsid w:val="002927B4"/>
    <w:rsid w:val="0029622F"/>
    <w:rsid w:val="002979A6"/>
    <w:rsid w:val="002A1366"/>
    <w:rsid w:val="002A1F29"/>
    <w:rsid w:val="002A20C1"/>
    <w:rsid w:val="002A3224"/>
    <w:rsid w:val="002A3958"/>
    <w:rsid w:val="002A655E"/>
    <w:rsid w:val="002B014D"/>
    <w:rsid w:val="002B03E5"/>
    <w:rsid w:val="002B123C"/>
    <w:rsid w:val="002B1657"/>
    <w:rsid w:val="002B1F79"/>
    <w:rsid w:val="002B2D9F"/>
    <w:rsid w:val="002B4447"/>
    <w:rsid w:val="002B487D"/>
    <w:rsid w:val="002B4D60"/>
    <w:rsid w:val="002B6E0B"/>
    <w:rsid w:val="002B6F25"/>
    <w:rsid w:val="002C204B"/>
    <w:rsid w:val="002C28F3"/>
    <w:rsid w:val="002C3942"/>
    <w:rsid w:val="002C5C36"/>
    <w:rsid w:val="002C5E17"/>
    <w:rsid w:val="002C6312"/>
    <w:rsid w:val="002C7763"/>
    <w:rsid w:val="002D0601"/>
    <w:rsid w:val="002D1A66"/>
    <w:rsid w:val="002D1E95"/>
    <w:rsid w:val="002D1FF5"/>
    <w:rsid w:val="002D2146"/>
    <w:rsid w:val="002E108F"/>
    <w:rsid w:val="002E252B"/>
    <w:rsid w:val="002E2572"/>
    <w:rsid w:val="002E41AC"/>
    <w:rsid w:val="002E5672"/>
    <w:rsid w:val="002E5A1C"/>
    <w:rsid w:val="002E5FDE"/>
    <w:rsid w:val="002E65E8"/>
    <w:rsid w:val="002E7751"/>
    <w:rsid w:val="002E776C"/>
    <w:rsid w:val="002F10EF"/>
    <w:rsid w:val="002F1CA5"/>
    <w:rsid w:val="002F274F"/>
    <w:rsid w:val="002F3C91"/>
    <w:rsid w:val="002F3F8A"/>
    <w:rsid w:val="002F49AD"/>
    <w:rsid w:val="002F4A37"/>
    <w:rsid w:val="002F4BB8"/>
    <w:rsid w:val="002F54EA"/>
    <w:rsid w:val="002F5BED"/>
    <w:rsid w:val="002F5D22"/>
    <w:rsid w:val="002F693D"/>
    <w:rsid w:val="002F757B"/>
    <w:rsid w:val="003014AA"/>
    <w:rsid w:val="003020E2"/>
    <w:rsid w:val="003042C8"/>
    <w:rsid w:val="00304B3A"/>
    <w:rsid w:val="00305800"/>
    <w:rsid w:val="00306E74"/>
    <w:rsid w:val="00310370"/>
    <w:rsid w:val="0031096E"/>
    <w:rsid w:val="00310ED0"/>
    <w:rsid w:val="00313073"/>
    <w:rsid w:val="003131C4"/>
    <w:rsid w:val="0032012C"/>
    <w:rsid w:val="00322BD1"/>
    <w:rsid w:val="00323554"/>
    <w:rsid w:val="003235C9"/>
    <w:rsid w:val="003257FC"/>
    <w:rsid w:val="00326CC9"/>
    <w:rsid w:val="0032736C"/>
    <w:rsid w:val="0032741A"/>
    <w:rsid w:val="00327B17"/>
    <w:rsid w:val="00330486"/>
    <w:rsid w:val="00331157"/>
    <w:rsid w:val="003344CD"/>
    <w:rsid w:val="00334FD2"/>
    <w:rsid w:val="00334FEB"/>
    <w:rsid w:val="003352F0"/>
    <w:rsid w:val="003354D9"/>
    <w:rsid w:val="00335DC3"/>
    <w:rsid w:val="0033717B"/>
    <w:rsid w:val="003371A4"/>
    <w:rsid w:val="003419B4"/>
    <w:rsid w:val="0034355A"/>
    <w:rsid w:val="00344AB8"/>
    <w:rsid w:val="00345F64"/>
    <w:rsid w:val="00346A46"/>
    <w:rsid w:val="00346A60"/>
    <w:rsid w:val="00346CED"/>
    <w:rsid w:val="00346F85"/>
    <w:rsid w:val="00347AE9"/>
    <w:rsid w:val="00347C30"/>
    <w:rsid w:val="0035157D"/>
    <w:rsid w:val="00351798"/>
    <w:rsid w:val="00353ACA"/>
    <w:rsid w:val="00353EA6"/>
    <w:rsid w:val="00354F5F"/>
    <w:rsid w:val="0035659B"/>
    <w:rsid w:val="00356FCE"/>
    <w:rsid w:val="003577E8"/>
    <w:rsid w:val="003600D0"/>
    <w:rsid w:val="003614A8"/>
    <w:rsid w:val="00363E40"/>
    <w:rsid w:val="00365D4B"/>
    <w:rsid w:val="00365E3A"/>
    <w:rsid w:val="003663B4"/>
    <w:rsid w:val="003666B3"/>
    <w:rsid w:val="003674CE"/>
    <w:rsid w:val="00370213"/>
    <w:rsid w:val="003709D9"/>
    <w:rsid w:val="0037170F"/>
    <w:rsid w:val="0037208D"/>
    <w:rsid w:val="00372EEF"/>
    <w:rsid w:val="0037414C"/>
    <w:rsid w:val="003747EE"/>
    <w:rsid w:val="00376917"/>
    <w:rsid w:val="00376E3F"/>
    <w:rsid w:val="003801AD"/>
    <w:rsid w:val="00381C7B"/>
    <w:rsid w:val="00382D89"/>
    <w:rsid w:val="003834A6"/>
    <w:rsid w:val="00383E4F"/>
    <w:rsid w:val="003846A2"/>
    <w:rsid w:val="0038497E"/>
    <w:rsid w:val="00384C3C"/>
    <w:rsid w:val="00384E69"/>
    <w:rsid w:val="003857C0"/>
    <w:rsid w:val="00387D7E"/>
    <w:rsid w:val="0039076A"/>
    <w:rsid w:val="00390FDC"/>
    <w:rsid w:val="0039169B"/>
    <w:rsid w:val="00391ABB"/>
    <w:rsid w:val="00391B7F"/>
    <w:rsid w:val="00392089"/>
    <w:rsid w:val="00392D2E"/>
    <w:rsid w:val="003939F6"/>
    <w:rsid w:val="00393B3C"/>
    <w:rsid w:val="00394985"/>
    <w:rsid w:val="00395216"/>
    <w:rsid w:val="0039624B"/>
    <w:rsid w:val="003965B3"/>
    <w:rsid w:val="00396C52"/>
    <w:rsid w:val="00397DBF"/>
    <w:rsid w:val="003A05F6"/>
    <w:rsid w:val="003A096C"/>
    <w:rsid w:val="003A0CC9"/>
    <w:rsid w:val="003A16D7"/>
    <w:rsid w:val="003A3ECF"/>
    <w:rsid w:val="003A47E9"/>
    <w:rsid w:val="003A4CE9"/>
    <w:rsid w:val="003A567F"/>
    <w:rsid w:val="003A6D7A"/>
    <w:rsid w:val="003B1B8C"/>
    <w:rsid w:val="003B1D16"/>
    <w:rsid w:val="003B1EC5"/>
    <w:rsid w:val="003B4160"/>
    <w:rsid w:val="003B7D6D"/>
    <w:rsid w:val="003B7E30"/>
    <w:rsid w:val="003C0050"/>
    <w:rsid w:val="003C0C80"/>
    <w:rsid w:val="003C12A0"/>
    <w:rsid w:val="003C19BA"/>
    <w:rsid w:val="003D12EB"/>
    <w:rsid w:val="003D1E64"/>
    <w:rsid w:val="003D3060"/>
    <w:rsid w:val="003D5F09"/>
    <w:rsid w:val="003D79FC"/>
    <w:rsid w:val="003E03EF"/>
    <w:rsid w:val="003E4A6E"/>
    <w:rsid w:val="003F02FB"/>
    <w:rsid w:val="003F053F"/>
    <w:rsid w:val="003F0775"/>
    <w:rsid w:val="003F0884"/>
    <w:rsid w:val="003F1CB9"/>
    <w:rsid w:val="003F41B9"/>
    <w:rsid w:val="003F47F8"/>
    <w:rsid w:val="003F4D6A"/>
    <w:rsid w:val="003F54F4"/>
    <w:rsid w:val="003F5671"/>
    <w:rsid w:val="003F5CC6"/>
    <w:rsid w:val="003F7246"/>
    <w:rsid w:val="003F7DB1"/>
    <w:rsid w:val="004003C3"/>
    <w:rsid w:val="00400A36"/>
    <w:rsid w:val="00401D20"/>
    <w:rsid w:val="00402046"/>
    <w:rsid w:val="00403BBB"/>
    <w:rsid w:val="004041E9"/>
    <w:rsid w:val="00405164"/>
    <w:rsid w:val="004054C3"/>
    <w:rsid w:val="0040685F"/>
    <w:rsid w:val="00410C9F"/>
    <w:rsid w:val="00411184"/>
    <w:rsid w:val="00413B9E"/>
    <w:rsid w:val="00421309"/>
    <w:rsid w:val="00421963"/>
    <w:rsid w:val="00421B43"/>
    <w:rsid w:val="0042243A"/>
    <w:rsid w:val="0042345B"/>
    <w:rsid w:val="00423AE8"/>
    <w:rsid w:val="00424C9B"/>
    <w:rsid w:val="00425668"/>
    <w:rsid w:val="00426AD7"/>
    <w:rsid w:val="00431D10"/>
    <w:rsid w:val="00432D5A"/>
    <w:rsid w:val="004334DB"/>
    <w:rsid w:val="00434704"/>
    <w:rsid w:val="004349EF"/>
    <w:rsid w:val="00435788"/>
    <w:rsid w:val="00435867"/>
    <w:rsid w:val="00435DA7"/>
    <w:rsid w:val="00435FC9"/>
    <w:rsid w:val="00436808"/>
    <w:rsid w:val="004404D6"/>
    <w:rsid w:val="004408E8"/>
    <w:rsid w:val="00441260"/>
    <w:rsid w:val="00444A5A"/>
    <w:rsid w:val="004457AD"/>
    <w:rsid w:val="00445925"/>
    <w:rsid w:val="00445E5A"/>
    <w:rsid w:val="00446049"/>
    <w:rsid w:val="0044707A"/>
    <w:rsid w:val="00447726"/>
    <w:rsid w:val="004514C2"/>
    <w:rsid w:val="004531F9"/>
    <w:rsid w:val="004541FC"/>
    <w:rsid w:val="00455672"/>
    <w:rsid w:val="00455FE7"/>
    <w:rsid w:val="004566BE"/>
    <w:rsid w:val="004567E8"/>
    <w:rsid w:val="0045741B"/>
    <w:rsid w:val="00460032"/>
    <w:rsid w:val="00460C57"/>
    <w:rsid w:val="004620EE"/>
    <w:rsid w:val="0046390E"/>
    <w:rsid w:val="00463FBF"/>
    <w:rsid w:val="00464DC1"/>
    <w:rsid w:val="00465467"/>
    <w:rsid w:val="00465D8A"/>
    <w:rsid w:val="00466BA2"/>
    <w:rsid w:val="004709ED"/>
    <w:rsid w:val="004710A6"/>
    <w:rsid w:val="0047353A"/>
    <w:rsid w:val="0047397D"/>
    <w:rsid w:val="00475A82"/>
    <w:rsid w:val="004762E3"/>
    <w:rsid w:val="00476E86"/>
    <w:rsid w:val="00477F73"/>
    <w:rsid w:val="00482556"/>
    <w:rsid w:val="00483934"/>
    <w:rsid w:val="004852C7"/>
    <w:rsid w:val="00485DE7"/>
    <w:rsid w:val="00486FBE"/>
    <w:rsid w:val="004879EF"/>
    <w:rsid w:val="00487E7B"/>
    <w:rsid w:val="00491946"/>
    <w:rsid w:val="0049222E"/>
    <w:rsid w:val="00492CA5"/>
    <w:rsid w:val="00493F40"/>
    <w:rsid w:val="00493F68"/>
    <w:rsid w:val="004973B8"/>
    <w:rsid w:val="004A4AE1"/>
    <w:rsid w:val="004A5E40"/>
    <w:rsid w:val="004A7EBD"/>
    <w:rsid w:val="004B011D"/>
    <w:rsid w:val="004B1DAE"/>
    <w:rsid w:val="004B1E16"/>
    <w:rsid w:val="004B25FB"/>
    <w:rsid w:val="004B292E"/>
    <w:rsid w:val="004B31A9"/>
    <w:rsid w:val="004B47EE"/>
    <w:rsid w:val="004B5AB1"/>
    <w:rsid w:val="004B66CA"/>
    <w:rsid w:val="004B6F72"/>
    <w:rsid w:val="004B7EA0"/>
    <w:rsid w:val="004C037F"/>
    <w:rsid w:val="004C0A9A"/>
    <w:rsid w:val="004C4BE6"/>
    <w:rsid w:val="004C7512"/>
    <w:rsid w:val="004C768C"/>
    <w:rsid w:val="004C7941"/>
    <w:rsid w:val="004C7BFA"/>
    <w:rsid w:val="004D0523"/>
    <w:rsid w:val="004D111A"/>
    <w:rsid w:val="004D1F01"/>
    <w:rsid w:val="004D2AA8"/>
    <w:rsid w:val="004D37BE"/>
    <w:rsid w:val="004D5BB2"/>
    <w:rsid w:val="004D5FDE"/>
    <w:rsid w:val="004D79D8"/>
    <w:rsid w:val="004E0478"/>
    <w:rsid w:val="004E069E"/>
    <w:rsid w:val="004E0E70"/>
    <w:rsid w:val="004E1331"/>
    <w:rsid w:val="004E13FB"/>
    <w:rsid w:val="004E19D7"/>
    <w:rsid w:val="004E2DEF"/>
    <w:rsid w:val="004E2F4D"/>
    <w:rsid w:val="004E40D9"/>
    <w:rsid w:val="004E65C0"/>
    <w:rsid w:val="004E66A3"/>
    <w:rsid w:val="004E6EAE"/>
    <w:rsid w:val="004E6F9B"/>
    <w:rsid w:val="004F0A2A"/>
    <w:rsid w:val="004F30F5"/>
    <w:rsid w:val="004F3296"/>
    <w:rsid w:val="004F39F5"/>
    <w:rsid w:val="004F4131"/>
    <w:rsid w:val="004F450C"/>
    <w:rsid w:val="004F60DB"/>
    <w:rsid w:val="004F7702"/>
    <w:rsid w:val="00500DD1"/>
    <w:rsid w:val="00500FC1"/>
    <w:rsid w:val="005015DF"/>
    <w:rsid w:val="0050196D"/>
    <w:rsid w:val="00502361"/>
    <w:rsid w:val="00503197"/>
    <w:rsid w:val="005034F8"/>
    <w:rsid w:val="005045D1"/>
    <w:rsid w:val="00504D24"/>
    <w:rsid w:val="00505F3B"/>
    <w:rsid w:val="00506371"/>
    <w:rsid w:val="005071D2"/>
    <w:rsid w:val="0051041A"/>
    <w:rsid w:val="005112AA"/>
    <w:rsid w:val="005125D4"/>
    <w:rsid w:val="00520177"/>
    <w:rsid w:val="005231F5"/>
    <w:rsid w:val="0052402E"/>
    <w:rsid w:val="00525F87"/>
    <w:rsid w:val="005260C2"/>
    <w:rsid w:val="00527ED3"/>
    <w:rsid w:val="00527FE1"/>
    <w:rsid w:val="00530957"/>
    <w:rsid w:val="005334E9"/>
    <w:rsid w:val="00535451"/>
    <w:rsid w:val="00537642"/>
    <w:rsid w:val="00537B18"/>
    <w:rsid w:val="00541E5A"/>
    <w:rsid w:val="00543EC4"/>
    <w:rsid w:val="00544386"/>
    <w:rsid w:val="00546AB0"/>
    <w:rsid w:val="00546D71"/>
    <w:rsid w:val="00547D5F"/>
    <w:rsid w:val="00551ECD"/>
    <w:rsid w:val="00554428"/>
    <w:rsid w:val="005546BC"/>
    <w:rsid w:val="00554818"/>
    <w:rsid w:val="00562A3E"/>
    <w:rsid w:val="00563F40"/>
    <w:rsid w:val="005650A1"/>
    <w:rsid w:val="00565FA7"/>
    <w:rsid w:val="00570AC2"/>
    <w:rsid w:val="00570AD1"/>
    <w:rsid w:val="00571AA5"/>
    <w:rsid w:val="00571B24"/>
    <w:rsid w:val="005733E7"/>
    <w:rsid w:val="005734C2"/>
    <w:rsid w:val="00575A17"/>
    <w:rsid w:val="005766D3"/>
    <w:rsid w:val="00583310"/>
    <w:rsid w:val="00584152"/>
    <w:rsid w:val="00584EA6"/>
    <w:rsid w:val="00587CCB"/>
    <w:rsid w:val="005928C0"/>
    <w:rsid w:val="00592E97"/>
    <w:rsid w:val="00593213"/>
    <w:rsid w:val="00595B74"/>
    <w:rsid w:val="005974CF"/>
    <w:rsid w:val="00597516"/>
    <w:rsid w:val="005975A8"/>
    <w:rsid w:val="00597BD0"/>
    <w:rsid w:val="005A0158"/>
    <w:rsid w:val="005A11B9"/>
    <w:rsid w:val="005A1E1B"/>
    <w:rsid w:val="005A217A"/>
    <w:rsid w:val="005A27E1"/>
    <w:rsid w:val="005A329E"/>
    <w:rsid w:val="005A386E"/>
    <w:rsid w:val="005A6786"/>
    <w:rsid w:val="005A6A07"/>
    <w:rsid w:val="005A76F3"/>
    <w:rsid w:val="005B22C6"/>
    <w:rsid w:val="005B34BF"/>
    <w:rsid w:val="005B351C"/>
    <w:rsid w:val="005C09C7"/>
    <w:rsid w:val="005C0C2A"/>
    <w:rsid w:val="005C209E"/>
    <w:rsid w:val="005C4184"/>
    <w:rsid w:val="005C4502"/>
    <w:rsid w:val="005C4D18"/>
    <w:rsid w:val="005C5189"/>
    <w:rsid w:val="005C54FF"/>
    <w:rsid w:val="005C61CB"/>
    <w:rsid w:val="005C61FB"/>
    <w:rsid w:val="005C66F9"/>
    <w:rsid w:val="005C7243"/>
    <w:rsid w:val="005D0816"/>
    <w:rsid w:val="005D09C8"/>
    <w:rsid w:val="005D30A0"/>
    <w:rsid w:val="005D398F"/>
    <w:rsid w:val="005D5B21"/>
    <w:rsid w:val="005D6036"/>
    <w:rsid w:val="005D6CED"/>
    <w:rsid w:val="005D6E85"/>
    <w:rsid w:val="005D77B4"/>
    <w:rsid w:val="005D78EE"/>
    <w:rsid w:val="005E0A74"/>
    <w:rsid w:val="005E16C6"/>
    <w:rsid w:val="005E382F"/>
    <w:rsid w:val="005E3B8D"/>
    <w:rsid w:val="005E593E"/>
    <w:rsid w:val="005E5AC7"/>
    <w:rsid w:val="005E65B0"/>
    <w:rsid w:val="005E6C6C"/>
    <w:rsid w:val="005F0672"/>
    <w:rsid w:val="005F0D00"/>
    <w:rsid w:val="005F2FD9"/>
    <w:rsid w:val="005F4728"/>
    <w:rsid w:val="005F4DCA"/>
    <w:rsid w:val="005F67B5"/>
    <w:rsid w:val="0060158F"/>
    <w:rsid w:val="0060202C"/>
    <w:rsid w:val="00602EE1"/>
    <w:rsid w:val="006035D3"/>
    <w:rsid w:val="0060391D"/>
    <w:rsid w:val="00603E84"/>
    <w:rsid w:val="0060458C"/>
    <w:rsid w:val="00604A27"/>
    <w:rsid w:val="0060594B"/>
    <w:rsid w:val="00606CA6"/>
    <w:rsid w:val="006077EB"/>
    <w:rsid w:val="00607F4F"/>
    <w:rsid w:val="00610563"/>
    <w:rsid w:val="00610C44"/>
    <w:rsid w:val="00611F08"/>
    <w:rsid w:val="006121AF"/>
    <w:rsid w:val="00613C96"/>
    <w:rsid w:val="00622330"/>
    <w:rsid w:val="00622F45"/>
    <w:rsid w:val="00624E50"/>
    <w:rsid w:val="00633B2C"/>
    <w:rsid w:val="006346EC"/>
    <w:rsid w:val="00636EB3"/>
    <w:rsid w:val="00642D91"/>
    <w:rsid w:val="006431CE"/>
    <w:rsid w:val="0064436A"/>
    <w:rsid w:val="006459D7"/>
    <w:rsid w:val="00646813"/>
    <w:rsid w:val="00646E8C"/>
    <w:rsid w:val="00650819"/>
    <w:rsid w:val="006510F7"/>
    <w:rsid w:val="00651D0A"/>
    <w:rsid w:val="006520D2"/>
    <w:rsid w:val="00652677"/>
    <w:rsid w:val="006527CD"/>
    <w:rsid w:val="0065367A"/>
    <w:rsid w:val="00655913"/>
    <w:rsid w:val="00655DE9"/>
    <w:rsid w:val="00657435"/>
    <w:rsid w:val="006575EE"/>
    <w:rsid w:val="00662E5E"/>
    <w:rsid w:val="006640E1"/>
    <w:rsid w:val="0066494C"/>
    <w:rsid w:val="00664F47"/>
    <w:rsid w:val="00665B02"/>
    <w:rsid w:val="00666662"/>
    <w:rsid w:val="0066671E"/>
    <w:rsid w:val="006672F3"/>
    <w:rsid w:val="00670309"/>
    <w:rsid w:val="00670C51"/>
    <w:rsid w:val="00670DFC"/>
    <w:rsid w:val="00672766"/>
    <w:rsid w:val="006734D8"/>
    <w:rsid w:val="00673C86"/>
    <w:rsid w:val="00673E59"/>
    <w:rsid w:val="0067457A"/>
    <w:rsid w:val="00680143"/>
    <w:rsid w:val="00680C98"/>
    <w:rsid w:val="00681991"/>
    <w:rsid w:val="0068250D"/>
    <w:rsid w:val="00683021"/>
    <w:rsid w:val="00684500"/>
    <w:rsid w:val="00684BE4"/>
    <w:rsid w:val="006868E0"/>
    <w:rsid w:val="00687059"/>
    <w:rsid w:val="006909A4"/>
    <w:rsid w:val="006910DC"/>
    <w:rsid w:val="00691C34"/>
    <w:rsid w:val="0069222C"/>
    <w:rsid w:val="00692EB3"/>
    <w:rsid w:val="00693BAA"/>
    <w:rsid w:val="0069464A"/>
    <w:rsid w:val="00695FCF"/>
    <w:rsid w:val="006A03D1"/>
    <w:rsid w:val="006A0E7C"/>
    <w:rsid w:val="006A1327"/>
    <w:rsid w:val="006A18AB"/>
    <w:rsid w:val="006A1DE0"/>
    <w:rsid w:val="006A224F"/>
    <w:rsid w:val="006A6AF4"/>
    <w:rsid w:val="006A6DEB"/>
    <w:rsid w:val="006B02AE"/>
    <w:rsid w:val="006B0F89"/>
    <w:rsid w:val="006B32D6"/>
    <w:rsid w:val="006B5E48"/>
    <w:rsid w:val="006B60CA"/>
    <w:rsid w:val="006B6ACB"/>
    <w:rsid w:val="006B6D34"/>
    <w:rsid w:val="006C0552"/>
    <w:rsid w:val="006C13E6"/>
    <w:rsid w:val="006C143B"/>
    <w:rsid w:val="006C1627"/>
    <w:rsid w:val="006C24FE"/>
    <w:rsid w:val="006C6315"/>
    <w:rsid w:val="006C7CE8"/>
    <w:rsid w:val="006D0E74"/>
    <w:rsid w:val="006D1116"/>
    <w:rsid w:val="006D16DE"/>
    <w:rsid w:val="006D1A15"/>
    <w:rsid w:val="006D2AE6"/>
    <w:rsid w:val="006D38B2"/>
    <w:rsid w:val="006D4437"/>
    <w:rsid w:val="006D4F3D"/>
    <w:rsid w:val="006D6CCA"/>
    <w:rsid w:val="006D6F48"/>
    <w:rsid w:val="006D76B3"/>
    <w:rsid w:val="006D7828"/>
    <w:rsid w:val="006D7880"/>
    <w:rsid w:val="006E0260"/>
    <w:rsid w:val="006E040C"/>
    <w:rsid w:val="006E0877"/>
    <w:rsid w:val="006E16D5"/>
    <w:rsid w:val="006E595F"/>
    <w:rsid w:val="006E6AE6"/>
    <w:rsid w:val="006E7182"/>
    <w:rsid w:val="006E7630"/>
    <w:rsid w:val="006F2A03"/>
    <w:rsid w:val="006F312E"/>
    <w:rsid w:val="006F318F"/>
    <w:rsid w:val="006F3EAD"/>
    <w:rsid w:val="006F5373"/>
    <w:rsid w:val="006F667E"/>
    <w:rsid w:val="006F7BD8"/>
    <w:rsid w:val="007016AB"/>
    <w:rsid w:val="007019D5"/>
    <w:rsid w:val="00702737"/>
    <w:rsid w:val="00706DA0"/>
    <w:rsid w:val="00707966"/>
    <w:rsid w:val="007110FE"/>
    <w:rsid w:val="0071395F"/>
    <w:rsid w:val="007139B4"/>
    <w:rsid w:val="00713CE6"/>
    <w:rsid w:val="0071462A"/>
    <w:rsid w:val="007159C3"/>
    <w:rsid w:val="00717345"/>
    <w:rsid w:val="0072052B"/>
    <w:rsid w:val="00721B2B"/>
    <w:rsid w:val="00722FB3"/>
    <w:rsid w:val="00723E81"/>
    <w:rsid w:val="00724248"/>
    <w:rsid w:val="0072582B"/>
    <w:rsid w:val="00725F0C"/>
    <w:rsid w:val="00726D53"/>
    <w:rsid w:val="007313A7"/>
    <w:rsid w:val="00731DA2"/>
    <w:rsid w:val="007324F4"/>
    <w:rsid w:val="00733012"/>
    <w:rsid w:val="0073455A"/>
    <w:rsid w:val="007400A4"/>
    <w:rsid w:val="00740828"/>
    <w:rsid w:val="00740C0E"/>
    <w:rsid w:val="00740CA3"/>
    <w:rsid w:val="0074101A"/>
    <w:rsid w:val="00743C02"/>
    <w:rsid w:val="007443B1"/>
    <w:rsid w:val="00744BAE"/>
    <w:rsid w:val="00747404"/>
    <w:rsid w:val="00750CF5"/>
    <w:rsid w:val="007528E7"/>
    <w:rsid w:val="00752A90"/>
    <w:rsid w:val="00753DE7"/>
    <w:rsid w:val="00754D00"/>
    <w:rsid w:val="00755056"/>
    <w:rsid w:val="0075609C"/>
    <w:rsid w:val="00756304"/>
    <w:rsid w:val="00756507"/>
    <w:rsid w:val="00756BFE"/>
    <w:rsid w:val="00757693"/>
    <w:rsid w:val="00762923"/>
    <w:rsid w:val="00762DBE"/>
    <w:rsid w:val="00763C47"/>
    <w:rsid w:val="00764024"/>
    <w:rsid w:val="0076598B"/>
    <w:rsid w:val="007663EA"/>
    <w:rsid w:val="007676CD"/>
    <w:rsid w:val="0077037E"/>
    <w:rsid w:val="007708C9"/>
    <w:rsid w:val="00770D18"/>
    <w:rsid w:val="007714A2"/>
    <w:rsid w:val="007739A8"/>
    <w:rsid w:val="00774103"/>
    <w:rsid w:val="00774873"/>
    <w:rsid w:val="00774E61"/>
    <w:rsid w:val="00775466"/>
    <w:rsid w:val="0077551A"/>
    <w:rsid w:val="00776DB6"/>
    <w:rsid w:val="00777F61"/>
    <w:rsid w:val="007816C9"/>
    <w:rsid w:val="007818CD"/>
    <w:rsid w:val="00782944"/>
    <w:rsid w:val="00782CF1"/>
    <w:rsid w:val="007839F2"/>
    <w:rsid w:val="00783F9C"/>
    <w:rsid w:val="00784AC1"/>
    <w:rsid w:val="00784D10"/>
    <w:rsid w:val="00785AF5"/>
    <w:rsid w:val="00787CD0"/>
    <w:rsid w:val="0079150D"/>
    <w:rsid w:val="00791B99"/>
    <w:rsid w:val="00791C02"/>
    <w:rsid w:val="0079319A"/>
    <w:rsid w:val="00793D77"/>
    <w:rsid w:val="00794071"/>
    <w:rsid w:val="00794679"/>
    <w:rsid w:val="00795878"/>
    <w:rsid w:val="0079641D"/>
    <w:rsid w:val="00796EDE"/>
    <w:rsid w:val="007A1AE7"/>
    <w:rsid w:val="007A46D7"/>
    <w:rsid w:val="007A616F"/>
    <w:rsid w:val="007A7CE9"/>
    <w:rsid w:val="007B0351"/>
    <w:rsid w:val="007B05F1"/>
    <w:rsid w:val="007B0A37"/>
    <w:rsid w:val="007B0AA3"/>
    <w:rsid w:val="007B1226"/>
    <w:rsid w:val="007B13F2"/>
    <w:rsid w:val="007B3DF4"/>
    <w:rsid w:val="007B4683"/>
    <w:rsid w:val="007B6482"/>
    <w:rsid w:val="007B6720"/>
    <w:rsid w:val="007B72FF"/>
    <w:rsid w:val="007C05B1"/>
    <w:rsid w:val="007C1028"/>
    <w:rsid w:val="007C16A5"/>
    <w:rsid w:val="007C19B5"/>
    <w:rsid w:val="007C1CDB"/>
    <w:rsid w:val="007C21BD"/>
    <w:rsid w:val="007C228E"/>
    <w:rsid w:val="007C239D"/>
    <w:rsid w:val="007C246E"/>
    <w:rsid w:val="007C2660"/>
    <w:rsid w:val="007C59B0"/>
    <w:rsid w:val="007C5DBA"/>
    <w:rsid w:val="007C6AAA"/>
    <w:rsid w:val="007C6EB3"/>
    <w:rsid w:val="007C7158"/>
    <w:rsid w:val="007C7225"/>
    <w:rsid w:val="007C72F6"/>
    <w:rsid w:val="007D1A83"/>
    <w:rsid w:val="007D269F"/>
    <w:rsid w:val="007D3EB8"/>
    <w:rsid w:val="007D4FBA"/>
    <w:rsid w:val="007D5A5C"/>
    <w:rsid w:val="007D5C11"/>
    <w:rsid w:val="007D6E3C"/>
    <w:rsid w:val="007D70B5"/>
    <w:rsid w:val="007D7272"/>
    <w:rsid w:val="007D77CB"/>
    <w:rsid w:val="007E17B8"/>
    <w:rsid w:val="007E29D4"/>
    <w:rsid w:val="007E34AD"/>
    <w:rsid w:val="007E3E65"/>
    <w:rsid w:val="007E41C3"/>
    <w:rsid w:val="007E46AE"/>
    <w:rsid w:val="007E5A63"/>
    <w:rsid w:val="007E7BEE"/>
    <w:rsid w:val="007F042A"/>
    <w:rsid w:val="007F0A13"/>
    <w:rsid w:val="007F0BCC"/>
    <w:rsid w:val="007F1439"/>
    <w:rsid w:val="007F14CE"/>
    <w:rsid w:val="007F1C14"/>
    <w:rsid w:val="007F1D68"/>
    <w:rsid w:val="007F24BB"/>
    <w:rsid w:val="007F25DA"/>
    <w:rsid w:val="007F2656"/>
    <w:rsid w:val="007F3C2F"/>
    <w:rsid w:val="007F4AC4"/>
    <w:rsid w:val="007F4E99"/>
    <w:rsid w:val="007F4FF4"/>
    <w:rsid w:val="007F5E7E"/>
    <w:rsid w:val="007F5F43"/>
    <w:rsid w:val="007F6AE1"/>
    <w:rsid w:val="007F6CC2"/>
    <w:rsid w:val="007F728F"/>
    <w:rsid w:val="008031D3"/>
    <w:rsid w:val="0080441F"/>
    <w:rsid w:val="00804F6D"/>
    <w:rsid w:val="008056D0"/>
    <w:rsid w:val="00805DB3"/>
    <w:rsid w:val="00807BD8"/>
    <w:rsid w:val="00810FB0"/>
    <w:rsid w:val="00811DA3"/>
    <w:rsid w:val="00812D02"/>
    <w:rsid w:val="00815245"/>
    <w:rsid w:val="008177B2"/>
    <w:rsid w:val="008201F9"/>
    <w:rsid w:val="00820803"/>
    <w:rsid w:val="00821629"/>
    <w:rsid w:val="00821A45"/>
    <w:rsid w:val="00824D10"/>
    <w:rsid w:val="00824F9C"/>
    <w:rsid w:val="00826F2B"/>
    <w:rsid w:val="00826F5D"/>
    <w:rsid w:val="0083057C"/>
    <w:rsid w:val="00830D06"/>
    <w:rsid w:val="00831290"/>
    <w:rsid w:val="00832623"/>
    <w:rsid w:val="00832B2F"/>
    <w:rsid w:val="00834245"/>
    <w:rsid w:val="008373A4"/>
    <w:rsid w:val="0084030D"/>
    <w:rsid w:val="008404BE"/>
    <w:rsid w:val="0084057F"/>
    <w:rsid w:val="0084083D"/>
    <w:rsid w:val="0084180F"/>
    <w:rsid w:val="00842718"/>
    <w:rsid w:val="008433ED"/>
    <w:rsid w:val="00843855"/>
    <w:rsid w:val="00845231"/>
    <w:rsid w:val="00845F17"/>
    <w:rsid w:val="008461D5"/>
    <w:rsid w:val="00847B81"/>
    <w:rsid w:val="00850B32"/>
    <w:rsid w:val="0085121B"/>
    <w:rsid w:val="00851752"/>
    <w:rsid w:val="0085401C"/>
    <w:rsid w:val="00854C6A"/>
    <w:rsid w:val="00854ED3"/>
    <w:rsid w:val="00855304"/>
    <w:rsid w:val="008601C0"/>
    <w:rsid w:val="00860EE6"/>
    <w:rsid w:val="00860F7C"/>
    <w:rsid w:val="008619C2"/>
    <w:rsid w:val="00863C67"/>
    <w:rsid w:val="00863D0C"/>
    <w:rsid w:val="00864718"/>
    <w:rsid w:val="008647F0"/>
    <w:rsid w:val="0086497C"/>
    <w:rsid w:val="00864DE8"/>
    <w:rsid w:val="00865CD0"/>
    <w:rsid w:val="00866AEF"/>
    <w:rsid w:val="00870749"/>
    <w:rsid w:val="008709A4"/>
    <w:rsid w:val="0087276F"/>
    <w:rsid w:val="00872987"/>
    <w:rsid w:val="00873F0C"/>
    <w:rsid w:val="00875CE2"/>
    <w:rsid w:val="00876BE5"/>
    <w:rsid w:val="008775DD"/>
    <w:rsid w:val="00877866"/>
    <w:rsid w:val="00877FCE"/>
    <w:rsid w:val="008822AB"/>
    <w:rsid w:val="00882DA0"/>
    <w:rsid w:val="00883FC7"/>
    <w:rsid w:val="00885C54"/>
    <w:rsid w:val="0088662D"/>
    <w:rsid w:val="0089088B"/>
    <w:rsid w:val="008909AF"/>
    <w:rsid w:val="00891D91"/>
    <w:rsid w:val="00893C26"/>
    <w:rsid w:val="00894118"/>
    <w:rsid w:val="0089537A"/>
    <w:rsid w:val="0089607B"/>
    <w:rsid w:val="008979BD"/>
    <w:rsid w:val="00897FBC"/>
    <w:rsid w:val="008A089C"/>
    <w:rsid w:val="008A142E"/>
    <w:rsid w:val="008A146B"/>
    <w:rsid w:val="008A170B"/>
    <w:rsid w:val="008A26B4"/>
    <w:rsid w:val="008A3B5D"/>
    <w:rsid w:val="008A3E93"/>
    <w:rsid w:val="008A5005"/>
    <w:rsid w:val="008A775C"/>
    <w:rsid w:val="008B0465"/>
    <w:rsid w:val="008B0B3E"/>
    <w:rsid w:val="008B43FB"/>
    <w:rsid w:val="008B524A"/>
    <w:rsid w:val="008B535C"/>
    <w:rsid w:val="008B7B18"/>
    <w:rsid w:val="008C2DC1"/>
    <w:rsid w:val="008C315B"/>
    <w:rsid w:val="008C4C90"/>
    <w:rsid w:val="008C526E"/>
    <w:rsid w:val="008C6C15"/>
    <w:rsid w:val="008C799E"/>
    <w:rsid w:val="008D03A2"/>
    <w:rsid w:val="008D19B9"/>
    <w:rsid w:val="008D1F89"/>
    <w:rsid w:val="008D29AB"/>
    <w:rsid w:val="008D2C09"/>
    <w:rsid w:val="008D3150"/>
    <w:rsid w:val="008D49F2"/>
    <w:rsid w:val="008D4AF3"/>
    <w:rsid w:val="008D67F5"/>
    <w:rsid w:val="008D68A8"/>
    <w:rsid w:val="008D7974"/>
    <w:rsid w:val="008E331A"/>
    <w:rsid w:val="008E3B5B"/>
    <w:rsid w:val="008E4367"/>
    <w:rsid w:val="008E463D"/>
    <w:rsid w:val="008E79D9"/>
    <w:rsid w:val="008E7E7D"/>
    <w:rsid w:val="008F0318"/>
    <w:rsid w:val="008F0639"/>
    <w:rsid w:val="008F0FCA"/>
    <w:rsid w:val="008F2864"/>
    <w:rsid w:val="008F3ECF"/>
    <w:rsid w:val="008F5902"/>
    <w:rsid w:val="008F6803"/>
    <w:rsid w:val="008F6F4A"/>
    <w:rsid w:val="009008A4"/>
    <w:rsid w:val="009030B1"/>
    <w:rsid w:val="0090584B"/>
    <w:rsid w:val="00910FBE"/>
    <w:rsid w:val="00911635"/>
    <w:rsid w:val="009117AD"/>
    <w:rsid w:val="00911990"/>
    <w:rsid w:val="0091240D"/>
    <w:rsid w:val="0091257C"/>
    <w:rsid w:val="00913C88"/>
    <w:rsid w:val="00915095"/>
    <w:rsid w:val="00916E06"/>
    <w:rsid w:val="00917247"/>
    <w:rsid w:val="009207B8"/>
    <w:rsid w:val="009227F1"/>
    <w:rsid w:val="00924A64"/>
    <w:rsid w:val="00925CBD"/>
    <w:rsid w:val="00925D50"/>
    <w:rsid w:val="00926ADF"/>
    <w:rsid w:val="009276E4"/>
    <w:rsid w:val="009307AA"/>
    <w:rsid w:val="00931153"/>
    <w:rsid w:val="0093332F"/>
    <w:rsid w:val="00933BC8"/>
    <w:rsid w:val="009359B3"/>
    <w:rsid w:val="00936AEC"/>
    <w:rsid w:val="00937440"/>
    <w:rsid w:val="009400CC"/>
    <w:rsid w:val="00941404"/>
    <w:rsid w:val="009441F1"/>
    <w:rsid w:val="009452EC"/>
    <w:rsid w:val="009454A5"/>
    <w:rsid w:val="00945D5F"/>
    <w:rsid w:val="0094731E"/>
    <w:rsid w:val="009478CA"/>
    <w:rsid w:val="00947D6D"/>
    <w:rsid w:val="009503EE"/>
    <w:rsid w:val="00951930"/>
    <w:rsid w:val="00952704"/>
    <w:rsid w:val="00952C5E"/>
    <w:rsid w:val="009535A2"/>
    <w:rsid w:val="009537AA"/>
    <w:rsid w:val="009548B4"/>
    <w:rsid w:val="0095498E"/>
    <w:rsid w:val="00955BC6"/>
    <w:rsid w:val="009565C7"/>
    <w:rsid w:val="0096155B"/>
    <w:rsid w:val="00961E90"/>
    <w:rsid w:val="00961FC2"/>
    <w:rsid w:val="009630B1"/>
    <w:rsid w:val="00964003"/>
    <w:rsid w:val="00964079"/>
    <w:rsid w:val="009676B3"/>
    <w:rsid w:val="009709E2"/>
    <w:rsid w:val="00970F86"/>
    <w:rsid w:val="0097131E"/>
    <w:rsid w:val="0097247F"/>
    <w:rsid w:val="009726DE"/>
    <w:rsid w:val="009738A6"/>
    <w:rsid w:val="00974063"/>
    <w:rsid w:val="00974ECE"/>
    <w:rsid w:val="0098190A"/>
    <w:rsid w:val="00981B12"/>
    <w:rsid w:val="00981BE3"/>
    <w:rsid w:val="009836B0"/>
    <w:rsid w:val="00983E28"/>
    <w:rsid w:val="009842CF"/>
    <w:rsid w:val="00984ED2"/>
    <w:rsid w:val="00990EA5"/>
    <w:rsid w:val="00992CF4"/>
    <w:rsid w:val="009946A4"/>
    <w:rsid w:val="00994C3A"/>
    <w:rsid w:val="009975B5"/>
    <w:rsid w:val="00997AB9"/>
    <w:rsid w:val="00997CF5"/>
    <w:rsid w:val="009A2334"/>
    <w:rsid w:val="009A266E"/>
    <w:rsid w:val="009A39EA"/>
    <w:rsid w:val="009A3DDA"/>
    <w:rsid w:val="009A3E8E"/>
    <w:rsid w:val="009A5A7F"/>
    <w:rsid w:val="009A5E36"/>
    <w:rsid w:val="009A6EC2"/>
    <w:rsid w:val="009A71B3"/>
    <w:rsid w:val="009A7E7D"/>
    <w:rsid w:val="009A7F55"/>
    <w:rsid w:val="009B130B"/>
    <w:rsid w:val="009B40D7"/>
    <w:rsid w:val="009B506F"/>
    <w:rsid w:val="009B58C4"/>
    <w:rsid w:val="009B58DC"/>
    <w:rsid w:val="009B5A7A"/>
    <w:rsid w:val="009B5C0F"/>
    <w:rsid w:val="009B6810"/>
    <w:rsid w:val="009B69BA"/>
    <w:rsid w:val="009B6DDE"/>
    <w:rsid w:val="009C0B43"/>
    <w:rsid w:val="009C0BDC"/>
    <w:rsid w:val="009C0EB9"/>
    <w:rsid w:val="009C1AEC"/>
    <w:rsid w:val="009C211C"/>
    <w:rsid w:val="009C3350"/>
    <w:rsid w:val="009C335A"/>
    <w:rsid w:val="009D06C8"/>
    <w:rsid w:val="009D1D9F"/>
    <w:rsid w:val="009D3FBA"/>
    <w:rsid w:val="009D4431"/>
    <w:rsid w:val="009D4A31"/>
    <w:rsid w:val="009D50EC"/>
    <w:rsid w:val="009D51C9"/>
    <w:rsid w:val="009D58AA"/>
    <w:rsid w:val="009D73D2"/>
    <w:rsid w:val="009D753E"/>
    <w:rsid w:val="009D7A4D"/>
    <w:rsid w:val="009E1E17"/>
    <w:rsid w:val="009E1F24"/>
    <w:rsid w:val="009E3585"/>
    <w:rsid w:val="009E4CCD"/>
    <w:rsid w:val="009E4E8D"/>
    <w:rsid w:val="009E58CA"/>
    <w:rsid w:val="009E5B2A"/>
    <w:rsid w:val="009E6BF8"/>
    <w:rsid w:val="009E6CCF"/>
    <w:rsid w:val="009F1C13"/>
    <w:rsid w:val="009F28E6"/>
    <w:rsid w:val="009F3576"/>
    <w:rsid w:val="009F40D4"/>
    <w:rsid w:val="009F5A87"/>
    <w:rsid w:val="009F6F3F"/>
    <w:rsid w:val="00A01052"/>
    <w:rsid w:val="00A014DF"/>
    <w:rsid w:val="00A01837"/>
    <w:rsid w:val="00A03049"/>
    <w:rsid w:val="00A030DC"/>
    <w:rsid w:val="00A03290"/>
    <w:rsid w:val="00A03B98"/>
    <w:rsid w:val="00A040E4"/>
    <w:rsid w:val="00A04CCE"/>
    <w:rsid w:val="00A04FE1"/>
    <w:rsid w:val="00A05231"/>
    <w:rsid w:val="00A06227"/>
    <w:rsid w:val="00A06A8A"/>
    <w:rsid w:val="00A06B77"/>
    <w:rsid w:val="00A06C8B"/>
    <w:rsid w:val="00A1069F"/>
    <w:rsid w:val="00A12ABE"/>
    <w:rsid w:val="00A134E9"/>
    <w:rsid w:val="00A13A9B"/>
    <w:rsid w:val="00A16E43"/>
    <w:rsid w:val="00A17867"/>
    <w:rsid w:val="00A20A0F"/>
    <w:rsid w:val="00A212FC"/>
    <w:rsid w:val="00A21D9C"/>
    <w:rsid w:val="00A22780"/>
    <w:rsid w:val="00A228EF"/>
    <w:rsid w:val="00A2295A"/>
    <w:rsid w:val="00A234E7"/>
    <w:rsid w:val="00A24115"/>
    <w:rsid w:val="00A241B4"/>
    <w:rsid w:val="00A242CB"/>
    <w:rsid w:val="00A24DE8"/>
    <w:rsid w:val="00A2577F"/>
    <w:rsid w:val="00A26ECD"/>
    <w:rsid w:val="00A27589"/>
    <w:rsid w:val="00A27F5A"/>
    <w:rsid w:val="00A309F6"/>
    <w:rsid w:val="00A30F83"/>
    <w:rsid w:val="00A31E77"/>
    <w:rsid w:val="00A324E6"/>
    <w:rsid w:val="00A33119"/>
    <w:rsid w:val="00A34715"/>
    <w:rsid w:val="00A34908"/>
    <w:rsid w:val="00A353EB"/>
    <w:rsid w:val="00A35657"/>
    <w:rsid w:val="00A356F6"/>
    <w:rsid w:val="00A35E08"/>
    <w:rsid w:val="00A3666D"/>
    <w:rsid w:val="00A36863"/>
    <w:rsid w:val="00A3693C"/>
    <w:rsid w:val="00A40D5E"/>
    <w:rsid w:val="00A41306"/>
    <w:rsid w:val="00A41343"/>
    <w:rsid w:val="00A4220D"/>
    <w:rsid w:val="00A42809"/>
    <w:rsid w:val="00A4608E"/>
    <w:rsid w:val="00A47BC1"/>
    <w:rsid w:val="00A506AC"/>
    <w:rsid w:val="00A51854"/>
    <w:rsid w:val="00A526E4"/>
    <w:rsid w:val="00A53478"/>
    <w:rsid w:val="00A55277"/>
    <w:rsid w:val="00A557C7"/>
    <w:rsid w:val="00A55818"/>
    <w:rsid w:val="00A55BD5"/>
    <w:rsid w:val="00A575C7"/>
    <w:rsid w:val="00A57DBF"/>
    <w:rsid w:val="00A61127"/>
    <w:rsid w:val="00A62167"/>
    <w:rsid w:val="00A63B96"/>
    <w:rsid w:val="00A64400"/>
    <w:rsid w:val="00A65300"/>
    <w:rsid w:val="00A6638F"/>
    <w:rsid w:val="00A67C62"/>
    <w:rsid w:val="00A67E3C"/>
    <w:rsid w:val="00A70267"/>
    <w:rsid w:val="00A70CC8"/>
    <w:rsid w:val="00A71361"/>
    <w:rsid w:val="00A716AD"/>
    <w:rsid w:val="00A71CA5"/>
    <w:rsid w:val="00A72605"/>
    <w:rsid w:val="00A72DA3"/>
    <w:rsid w:val="00A73221"/>
    <w:rsid w:val="00A73762"/>
    <w:rsid w:val="00A772B6"/>
    <w:rsid w:val="00A813D1"/>
    <w:rsid w:val="00A81B8D"/>
    <w:rsid w:val="00A82421"/>
    <w:rsid w:val="00A82490"/>
    <w:rsid w:val="00A82B43"/>
    <w:rsid w:val="00A8542E"/>
    <w:rsid w:val="00A854C7"/>
    <w:rsid w:val="00A85E75"/>
    <w:rsid w:val="00A85F1C"/>
    <w:rsid w:val="00A863F1"/>
    <w:rsid w:val="00A876C4"/>
    <w:rsid w:val="00A91F80"/>
    <w:rsid w:val="00A9294F"/>
    <w:rsid w:val="00A92A1E"/>
    <w:rsid w:val="00A92DB8"/>
    <w:rsid w:val="00A941AB"/>
    <w:rsid w:val="00A9536C"/>
    <w:rsid w:val="00A954A0"/>
    <w:rsid w:val="00A95871"/>
    <w:rsid w:val="00A959E1"/>
    <w:rsid w:val="00A97041"/>
    <w:rsid w:val="00AA0D97"/>
    <w:rsid w:val="00AA13FA"/>
    <w:rsid w:val="00AA2AB2"/>
    <w:rsid w:val="00AA3522"/>
    <w:rsid w:val="00AA3EDC"/>
    <w:rsid w:val="00AA3FAF"/>
    <w:rsid w:val="00AA3FFD"/>
    <w:rsid w:val="00AA4531"/>
    <w:rsid w:val="00AA5CA3"/>
    <w:rsid w:val="00AA6DFA"/>
    <w:rsid w:val="00AB078F"/>
    <w:rsid w:val="00AB1CD4"/>
    <w:rsid w:val="00AB1F27"/>
    <w:rsid w:val="00AB2C5A"/>
    <w:rsid w:val="00AB3A64"/>
    <w:rsid w:val="00AB5386"/>
    <w:rsid w:val="00AB7F98"/>
    <w:rsid w:val="00AC0137"/>
    <w:rsid w:val="00AC0E1B"/>
    <w:rsid w:val="00AC1291"/>
    <w:rsid w:val="00AC2032"/>
    <w:rsid w:val="00AC4D37"/>
    <w:rsid w:val="00AC5680"/>
    <w:rsid w:val="00AC5E22"/>
    <w:rsid w:val="00AC6EE2"/>
    <w:rsid w:val="00AD373B"/>
    <w:rsid w:val="00AD4A47"/>
    <w:rsid w:val="00AD5414"/>
    <w:rsid w:val="00AD5A41"/>
    <w:rsid w:val="00AD5D9D"/>
    <w:rsid w:val="00AD6040"/>
    <w:rsid w:val="00AD7E11"/>
    <w:rsid w:val="00AD7E6C"/>
    <w:rsid w:val="00AE0165"/>
    <w:rsid w:val="00AE095C"/>
    <w:rsid w:val="00AE4FDF"/>
    <w:rsid w:val="00AE55CF"/>
    <w:rsid w:val="00AE610F"/>
    <w:rsid w:val="00AE6316"/>
    <w:rsid w:val="00AE72C3"/>
    <w:rsid w:val="00AE754D"/>
    <w:rsid w:val="00AE7CBE"/>
    <w:rsid w:val="00AF3EFA"/>
    <w:rsid w:val="00AF4542"/>
    <w:rsid w:val="00AF568C"/>
    <w:rsid w:val="00AF5D13"/>
    <w:rsid w:val="00AF6AD8"/>
    <w:rsid w:val="00AF6AD9"/>
    <w:rsid w:val="00B00FD1"/>
    <w:rsid w:val="00B03668"/>
    <w:rsid w:val="00B0478A"/>
    <w:rsid w:val="00B04810"/>
    <w:rsid w:val="00B052ED"/>
    <w:rsid w:val="00B05FEC"/>
    <w:rsid w:val="00B06936"/>
    <w:rsid w:val="00B06E43"/>
    <w:rsid w:val="00B101D3"/>
    <w:rsid w:val="00B11742"/>
    <w:rsid w:val="00B1179A"/>
    <w:rsid w:val="00B12223"/>
    <w:rsid w:val="00B12DDE"/>
    <w:rsid w:val="00B1344A"/>
    <w:rsid w:val="00B13D69"/>
    <w:rsid w:val="00B1526F"/>
    <w:rsid w:val="00B16293"/>
    <w:rsid w:val="00B1743D"/>
    <w:rsid w:val="00B20CC6"/>
    <w:rsid w:val="00B217EF"/>
    <w:rsid w:val="00B2183C"/>
    <w:rsid w:val="00B21B02"/>
    <w:rsid w:val="00B23F06"/>
    <w:rsid w:val="00B243C5"/>
    <w:rsid w:val="00B25B01"/>
    <w:rsid w:val="00B25C49"/>
    <w:rsid w:val="00B27CBC"/>
    <w:rsid w:val="00B27FA5"/>
    <w:rsid w:val="00B323C8"/>
    <w:rsid w:val="00B337C4"/>
    <w:rsid w:val="00B347A9"/>
    <w:rsid w:val="00B348A2"/>
    <w:rsid w:val="00B34AF2"/>
    <w:rsid w:val="00B35F8B"/>
    <w:rsid w:val="00B36601"/>
    <w:rsid w:val="00B36772"/>
    <w:rsid w:val="00B3688C"/>
    <w:rsid w:val="00B36965"/>
    <w:rsid w:val="00B37F8B"/>
    <w:rsid w:val="00B400D6"/>
    <w:rsid w:val="00B40B2A"/>
    <w:rsid w:val="00B40C25"/>
    <w:rsid w:val="00B42827"/>
    <w:rsid w:val="00B43271"/>
    <w:rsid w:val="00B432DB"/>
    <w:rsid w:val="00B4394E"/>
    <w:rsid w:val="00B462EB"/>
    <w:rsid w:val="00B4743E"/>
    <w:rsid w:val="00B47B54"/>
    <w:rsid w:val="00B47EE0"/>
    <w:rsid w:val="00B50287"/>
    <w:rsid w:val="00B5039F"/>
    <w:rsid w:val="00B50664"/>
    <w:rsid w:val="00B51211"/>
    <w:rsid w:val="00B518B4"/>
    <w:rsid w:val="00B52D43"/>
    <w:rsid w:val="00B535D8"/>
    <w:rsid w:val="00B554A0"/>
    <w:rsid w:val="00B555EC"/>
    <w:rsid w:val="00B558B8"/>
    <w:rsid w:val="00B57B47"/>
    <w:rsid w:val="00B57D56"/>
    <w:rsid w:val="00B6308A"/>
    <w:rsid w:val="00B63A54"/>
    <w:rsid w:val="00B63D33"/>
    <w:rsid w:val="00B63DE8"/>
    <w:rsid w:val="00B64851"/>
    <w:rsid w:val="00B66628"/>
    <w:rsid w:val="00B675E7"/>
    <w:rsid w:val="00B67A3E"/>
    <w:rsid w:val="00B67E53"/>
    <w:rsid w:val="00B71B7F"/>
    <w:rsid w:val="00B71C85"/>
    <w:rsid w:val="00B728CE"/>
    <w:rsid w:val="00B728E0"/>
    <w:rsid w:val="00B740DA"/>
    <w:rsid w:val="00B7547E"/>
    <w:rsid w:val="00B75F9C"/>
    <w:rsid w:val="00B7632A"/>
    <w:rsid w:val="00B765BC"/>
    <w:rsid w:val="00B7689D"/>
    <w:rsid w:val="00B769DE"/>
    <w:rsid w:val="00B77293"/>
    <w:rsid w:val="00B77990"/>
    <w:rsid w:val="00B80785"/>
    <w:rsid w:val="00B80BBF"/>
    <w:rsid w:val="00B80FC7"/>
    <w:rsid w:val="00B8178C"/>
    <w:rsid w:val="00B8235D"/>
    <w:rsid w:val="00B82711"/>
    <w:rsid w:val="00B827D9"/>
    <w:rsid w:val="00B84E80"/>
    <w:rsid w:val="00B85F5D"/>
    <w:rsid w:val="00B87C28"/>
    <w:rsid w:val="00B90BDE"/>
    <w:rsid w:val="00B92C5E"/>
    <w:rsid w:val="00B93358"/>
    <w:rsid w:val="00B934BC"/>
    <w:rsid w:val="00B93E3C"/>
    <w:rsid w:val="00B94096"/>
    <w:rsid w:val="00B949B7"/>
    <w:rsid w:val="00B94B86"/>
    <w:rsid w:val="00B95F63"/>
    <w:rsid w:val="00B978BA"/>
    <w:rsid w:val="00BA1DCF"/>
    <w:rsid w:val="00BA208D"/>
    <w:rsid w:val="00BA4393"/>
    <w:rsid w:val="00BA4AAE"/>
    <w:rsid w:val="00BA5F0C"/>
    <w:rsid w:val="00BA60ED"/>
    <w:rsid w:val="00BA6105"/>
    <w:rsid w:val="00BA6223"/>
    <w:rsid w:val="00BA6251"/>
    <w:rsid w:val="00BA6D98"/>
    <w:rsid w:val="00BA74DA"/>
    <w:rsid w:val="00BA76A4"/>
    <w:rsid w:val="00BA7CEE"/>
    <w:rsid w:val="00BB140B"/>
    <w:rsid w:val="00BB1AAB"/>
    <w:rsid w:val="00BB26F1"/>
    <w:rsid w:val="00BB3A59"/>
    <w:rsid w:val="00BB4064"/>
    <w:rsid w:val="00BB49C8"/>
    <w:rsid w:val="00BB55DA"/>
    <w:rsid w:val="00BB663A"/>
    <w:rsid w:val="00BB69C3"/>
    <w:rsid w:val="00BC104A"/>
    <w:rsid w:val="00BC125B"/>
    <w:rsid w:val="00BC26D8"/>
    <w:rsid w:val="00BC2DC0"/>
    <w:rsid w:val="00BC35AC"/>
    <w:rsid w:val="00BC43DD"/>
    <w:rsid w:val="00BC6E4B"/>
    <w:rsid w:val="00BD0548"/>
    <w:rsid w:val="00BD096C"/>
    <w:rsid w:val="00BD10EF"/>
    <w:rsid w:val="00BD140D"/>
    <w:rsid w:val="00BD15A0"/>
    <w:rsid w:val="00BD313E"/>
    <w:rsid w:val="00BD4B94"/>
    <w:rsid w:val="00BD4E1D"/>
    <w:rsid w:val="00BD5B82"/>
    <w:rsid w:val="00BD5CD7"/>
    <w:rsid w:val="00BE021C"/>
    <w:rsid w:val="00BE0668"/>
    <w:rsid w:val="00BE1EFD"/>
    <w:rsid w:val="00BE465C"/>
    <w:rsid w:val="00BE4E60"/>
    <w:rsid w:val="00BE540B"/>
    <w:rsid w:val="00BE57FF"/>
    <w:rsid w:val="00BE6EC8"/>
    <w:rsid w:val="00BF0E6F"/>
    <w:rsid w:val="00BF1282"/>
    <w:rsid w:val="00BF18A7"/>
    <w:rsid w:val="00BF2888"/>
    <w:rsid w:val="00BF36CE"/>
    <w:rsid w:val="00BF36EE"/>
    <w:rsid w:val="00BF3E56"/>
    <w:rsid w:val="00BF43C7"/>
    <w:rsid w:val="00BF5B0B"/>
    <w:rsid w:val="00BF6125"/>
    <w:rsid w:val="00BF7079"/>
    <w:rsid w:val="00BF7083"/>
    <w:rsid w:val="00BF7A50"/>
    <w:rsid w:val="00BF7CC3"/>
    <w:rsid w:val="00C0004B"/>
    <w:rsid w:val="00C0193C"/>
    <w:rsid w:val="00C01A7A"/>
    <w:rsid w:val="00C028FB"/>
    <w:rsid w:val="00C04204"/>
    <w:rsid w:val="00C048BF"/>
    <w:rsid w:val="00C04F71"/>
    <w:rsid w:val="00C05087"/>
    <w:rsid w:val="00C05C5F"/>
    <w:rsid w:val="00C11261"/>
    <w:rsid w:val="00C128B2"/>
    <w:rsid w:val="00C129EB"/>
    <w:rsid w:val="00C12DB5"/>
    <w:rsid w:val="00C12F76"/>
    <w:rsid w:val="00C1317F"/>
    <w:rsid w:val="00C13CA2"/>
    <w:rsid w:val="00C13EE7"/>
    <w:rsid w:val="00C14179"/>
    <w:rsid w:val="00C149BF"/>
    <w:rsid w:val="00C14D62"/>
    <w:rsid w:val="00C16371"/>
    <w:rsid w:val="00C1679D"/>
    <w:rsid w:val="00C17837"/>
    <w:rsid w:val="00C17C1A"/>
    <w:rsid w:val="00C17DE3"/>
    <w:rsid w:val="00C200BA"/>
    <w:rsid w:val="00C201A5"/>
    <w:rsid w:val="00C20481"/>
    <w:rsid w:val="00C21630"/>
    <w:rsid w:val="00C21847"/>
    <w:rsid w:val="00C223E4"/>
    <w:rsid w:val="00C2264A"/>
    <w:rsid w:val="00C228F2"/>
    <w:rsid w:val="00C23771"/>
    <w:rsid w:val="00C23C42"/>
    <w:rsid w:val="00C23DEF"/>
    <w:rsid w:val="00C25019"/>
    <w:rsid w:val="00C279C2"/>
    <w:rsid w:val="00C3029A"/>
    <w:rsid w:val="00C31CFF"/>
    <w:rsid w:val="00C335A4"/>
    <w:rsid w:val="00C33ED1"/>
    <w:rsid w:val="00C34F42"/>
    <w:rsid w:val="00C35422"/>
    <w:rsid w:val="00C358CD"/>
    <w:rsid w:val="00C378AD"/>
    <w:rsid w:val="00C40D79"/>
    <w:rsid w:val="00C42A70"/>
    <w:rsid w:val="00C431DF"/>
    <w:rsid w:val="00C43596"/>
    <w:rsid w:val="00C44716"/>
    <w:rsid w:val="00C452D5"/>
    <w:rsid w:val="00C4614F"/>
    <w:rsid w:val="00C47276"/>
    <w:rsid w:val="00C47486"/>
    <w:rsid w:val="00C4790B"/>
    <w:rsid w:val="00C51DA0"/>
    <w:rsid w:val="00C5282F"/>
    <w:rsid w:val="00C532C2"/>
    <w:rsid w:val="00C537EF"/>
    <w:rsid w:val="00C54488"/>
    <w:rsid w:val="00C54926"/>
    <w:rsid w:val="00C6026C"/>
    <w:rsid w:val="00C60C48"/>
    <w:rsid w:val="00C62077"/>
    <w:rsid w:val="00C64463"/>
    <w:rsid w:val="00C6486E"/>
    <w:rsid w:val="00C66E5B"/>
    <w:rsid w:val="00C700A3"/>
    <w:rsid w:val="00C705E2"/>
    <w:rsid w:val="00C70C62"/>
    <w:rsid w:val="00C71000"/>
    <w:rsid w:val="00C717E8"/>
    <w:rsid w:val="00C71C8D"/>
    <w:rsid w:val="00C730EC"/>
    <w:rsid w:val="00C7386F"/>
    <w:rsid w:val="00C75EAE"/>
    <w:rsid w:val="00C75F9E"/>
    <w:rsid w:val="00C76250"/>
    <w:rsid w:val="00C819C0"/>
    <w:rsid w:val="00C81DAF"/>
    <w:rsid w:val="00C81F0C"/>
    <w:rsid w:val="00C81F49"/>
    <w:rsid w:val="00C8338B"/>
    <w:rsid w:val="00C83AD4"/>
    <w:rsid w:val="00C84002"/>
    <w:rsid w:val="00C868A8"/>
    <w:rsid w:val="00C877C2"/>
    <w:rsid w:val="00C87943"/>
    <w:rsid w:val="00C87CF9"/>
    <w:rsid w:val="00C906FF"/>
    <w:rsid w:val="00C91A27"/>
    <w:rsid w:val="00C91DE4"/>
    <w:rsid w:val="00C925E9"/>
    <w:rsid w:val="00C930AF"/>
    <w:rsid w:val="00C935EE"/>
    <w:rsid w:val="00C94EC0"/>
    <w:rsid w:val="00C95B08"/>
    <w:rsid w:val="00C9754F"/>
    <w:rsid w:val="00C97D01"/>
    <w:rsid w:val="00CA06AF"/>
    <w:rsid w:val="00CA0F07"/>
    <w:rsid w:val="00CA19F0"/>
    <w:rsid w:val="00CA1F15"/>
    <w:rsid w:val="00CA2AA0"/>
    <w:rsid w:val="00CA2BD8"/>
    <w:rsid w:val="00CA3034"/>
    <w:rsid w:val="00CA53E1"/>
    <w:rsid w:val="00CA5DB7"/>
    <w:rsid w:val="00CA6474"/>
    <w:rsid w:val="00CA7294"/>
    <w:rsid w:val="00CA78E5"/>
    <w:rsid w:val="00CA7E4A"/>
    <w:rsid w:val="00CB117C"/>
    <w:rsid w:val="00CB420E"/>
    <w:rsid w:val="00CB4923"/>
    <w:rsid w:val="00CB4E35"/>
    <w:rsid w:val="00CB686A"/>
    <w:rsid w:val="00CC0716"/>
    <w:rsid w:val="00CC2F11"/>
    <w:rsid w:val="00CC3645"/>
    <w:rsid w:val="00CC395D"/>
    <w:rsid w:val="00CC3EF2"/>
    <w:rsid w:val="00CC42D9"/>
    <w:rsid w:val="00CD0E34"/>
    <w:rsid w:val="00CD1557"/>
    <w:rsid w:val="00CD19DA"/>
    <w:rsid w:val="00CD22FF"/>
    <w:rsid w:val="00CD35B2"/>
    <w:rsid w:val="00CD5214"/>
    <w:rsid w:val="00CD571D"/>
    <w:rsid w:val="00CD7460"/>
    <w:rsid w:val="00CD77D1"/>
    <w:rsid w:val="00CE14AE"/>
    <w:rsid w:val="00CE257A"/>
    <w:rsid w:val="00CE2878"/>
    <w:rsid w:val="00CE6F72"/>
    <w:rsid w:val="00CE7600"/>
    <w:rsid w:val="00CF0F72"/>
    <w:rsid w:val="00CF2009"/>
    <w:rsid w:val="00CF28E5"/>
    <w:rsid w:val="00CF67E3"/>
    <w:rsid w:val="00CF6FCD"/>
    <w:rsid w:val="00CF73B4"/>
    <w:rsid w:val="00D013DA"/>
    <w:rsid w:val="00D03D09"/>
    <w:rsid w:val="00D04324"/>
    <w:rsid w:val="00D0456E"/>
    <w:rsid w:val="00D059BB"/>
    <w:rsid w:val="00D06A9E"/>
    <w:rsid w:val="00D07164"/>
    <w:rsid w:val="00D07F07"/>
    <w:rsid w:val="00D11DB3"/>
    <w:rsid w:val="00D122C6"/>
    <w:rsid w:val="00D130D1"/>
    <w:rsid w:val="00D13AEE"/>
    <w:rsid w:val="00D144E7"/>
    <w:rsid w:val="00D14E18"/>
    <w:rsid w:val="00D154C6"/>
    <w:rsid w:val="00D17B19"/>
    <w:rsid w:val="00D17C8E"/>
    <w:rsid w:val="00D206D1"/>
    <w:rsid w:val="00D218E5"/>
    <w:rsid w:val="00D22CBA"/>
    <w:rsid w:val="00D2396C"/>
    <w:rsid w:val="00D23D38"/>
    <w:rsid w:val="00D24CB2"/>
    <w:rsid w:val="00D24F1E"/>
    <w:rsid w:val="00D3096C"/>
    <w:rsid w:val="00D324A5"/>
    <w:rsid w:val="00D32DBF"/>
    <w:rsid w:val="00D361C8"/>
    <w:rsid w:val="00D3666C"/>
    <w:rsid w:val="00D407AE"/>
    <w:rsid w:val="00D46300"/>
    <w:rsid w:val="00D46735"/>
    <w:rsid w:val="00D4684F"/>
    <w:rsid w:val="00D53CEC"/>
    <w:rsid w:val="00D54C3B"/>
    <w:rsid w:val="00D54C51"/>
    <w:rsid w:val="00D5614A"/>
    <w:rsid w:val="00D5777E"/>
    <w:rsid w:val="00D60614"/>
    <w:rsid w:val="00D62F2B"/>
    <w:rsid w:val="00D6319C"/>
    <w:rsid w:val="00D647C7"/>
    <w:rsid w:val="00D64B80"/>
    <w:rsid w:val="00D652B6"/>
    <w:rsid w:val="00D66236"/>
    <w:rsid w:val="00D66C95"/>
    <w:rsid w:val="00D67345"/>
    <w:rsid w:val="00D67F08"/>
    <w:rsid w:val="00D67F95"/>
    <w:rsid w:val="00D70D4C"/>
    <w:rsid w:val="00D7302B"/>
    <w:rsid w:val="00D7557C"/>
    <w:rsid w:val="00D76E52"/>
    <w:rsid w:val="00D804A0"/>
    <w:rsid w:val="00D806BB"/>
    <w:rsid w:val="00D80A1C"/>
    <w:rsid w:val="00D80C12"/>
    <w:rsid w:val="00D8103D"/>
    <w:rsid w:val="00D8113E"/>
    <w:rsid w:val="00D84385"/>
    <w:rsid w:val="00D84BF7"/>
    <w:rsid w:val="00D852AB"/>
    <w:rsid w:val="00D86593"/>
    <w:rsid w:val="00D87611"/>
    <w:rsid w:val="00D90685"/>
    <w:rsid w:val="00D91FCF"/>
    <w:rsid w:val="00D92862"/>
    <w:rsid w:val="00D93D47"/>
    <w:rsid w:val="00D95378"/>
    <w:rsid w:val="00D95402"/>
    <w:rsid w:val="00D97684"/>
    <w:rsid w:val="00D97BC3"/>
    <w:rsid w:val="00DA064F"/>
    <w:rsid w:val="00DA1567"/>
    <w:rsid w:val="00DA20E2"/>
    <w:rsid w:val="00DA2159"/>
    <w:rsid w:val="00DA3214"/>
    <w:rsid w:val="00DA34BD"/>
    <w:rsid w:val="00DA3A0D"/>
    <w:rsid w:val="00DA5E15"/>
    <w:rsid w:val="00DA69A7"/>
    <w:rsid w:val="00DB0DC4"/>
    <w:rsid w:val="00DB0E1F"/>
    <w:rsid w:val="00DB324D"/>
    <w:rsid w:val="00DB327D"/>
    <w:rsid w:val="00DB440B"/>
    <w:rsid w:val="00DB4773"/>
    <w:rsid w:val="00DB5CB6"/>
    <w:rsid w:val="00DB7B4A"/>
    <w:rsid w:val="00DC142C"/>
    <w:rsid w:val="00DC30DD"/>
    <w:rsid w:val="00DC337C"/>
    <w:rsid w:val="00DC44FF"/>
    <w:rsid w:val="00DC5D2F"/>
    <w:rsid w:val="00DC668F"/>
    <w:rsid w:val="00DC6FA6"/>
    <w:rsid w:val="00DC7128"/>
    <w:rsid w:val="00DC712D"/>
    <w:rsid w:val="00DC71F0"/>
    <w:rsid w:val="00DD1ED5"/>
    <w:rsid w:val="00DD26EC"/>
    <w:rsid w:val="00DD290C"/>
    <w:rsid w:val="00DD3377"/>
    <w:rsid w:val="00DD3453"/>
    <w:rsid w:val="00DD353A"/>
    <w:rsid w:val="00DD466A"/>
    <w:rsid w:val="00DD57CA"/>
    <w:rsid w:val="00DD71B6"/>
    <w:rsid w:val="00DE061E"/>
    <w:rsid w:val="00DE254C"/>
    <w:rsid w:val="00DE35BA"/>
    <w:rsid w:val="00DE35CC"/>
    <w:rsid w:val="00DE38E6"/>
    <w:rsid w:val="00DE5A5D"/>
    <w:rsid w:val="00DE5CA2"/>
    <w:rsid w:val="00DE618F"/>
    <w:rsid w:val="00DE7713"/>
    <w:rsid w:val="00DF02E8"/>
    <w:rsid w:val="00DF361B"/>
    <w:rsid w:val="00DF5C6D"/>
    <w:rsid w:val="00DF696F"/>
    <w:rsid w:val="00DF6ED0"/>
    <w:rsid w:val="00E00050"/>
    <w:rsid w:val="00E02019"/>
    <w:rsid w:val="00E02FAA"/>
    <w:rsid w:val="00E04113"/>
    <w:rsid w:val="00E041C3"/>
    <w:rsid w:val="00E04294"/>
    <w:rsid w:val="00E04647"/>
    <w:rsid w:val="00E046E7"/>
    <w:rsid w:val="00E06E97"/>
    <w:rsid w:val="00E116F3"/>
    <w:rsid w:val="00E11C7D"/>
    <w:rsid w:val="00E12C11"/>
    <w:rsid w:val="00E132E2"/>
    <w:rsid w:val="00E134D5"/>
    <w:rsid w:val="00E145E1"/>
    <w:rsid w:val="00E15C20"/>
    <w:rsid w:val="00E16044"/>
    <w:rsid w:val="00E164D9"/>
    <w:rsid w:val="00E1692D"/>
    <w:rsid w:val="00E2057F"/>
    <w:rsid w:val="00E20610"/>
    <w:rsid w:val="00E20797"/>
    <w:rsid w:val="00E20E59"/>
    <w:rsid w:val="00E22653"/>
    <w:rsid w:val="00E25DA4"/>
    <w:rsid w:val="00E268E7"/>
    <w:rsid w:val="00E277F6"/>
    <w:rsid w:val="00E3052D"/>
    <w:rsid w:val="00E30621"/>
    <w:rsid w:val="00E30C48"/>
    <w:rsid w:val="00E30F69"/>
    <w:rsid w:val="00E32947"/>
    <w:rsid w:val="00E34DC0"/>
    <w:rsid w:val="00E36286"/>
    <w:rsid w:val="00E36E05"/>
    <w:rsid w:val="00E3700D"/>
    <w:rsid w:val="00E37A35"/>
    <w:rsid w:val="00E418E8"/>
    <w:rsid w:val="00E41ACC"/>
    <w:rsid w:val="00E425A4"/>
    <w:rsid w:val="00E427DD"/>
    <w:rsid w:val="00E42A10"/>
    <w:rsid w:val="00E46DBA"/>
    <w:rsid w:val="00E4744D"/>
    <w:rsid w:val="00E50947"/>
    <w:rsid w:val="00E50B25"/>
    <w:rsid w:val="00E5237E"/>
    <w:rsid w:val="00E528C1"/>
    <w:rsid w:val="00E539B3"/>
    <w:rsid w:val="00E53B10"/>
    <w:rsid w:val="00E53D45"/>
    <w:rsid w:val="00E54627"/>
    <w:rsid w:val="00E548D2"/>
    <w:rsid w:val="00E54C43"/>
    <w:rsid w:val="00E55BA5"/>
    <w:rsid w:val="00E564C2"/>
    <w:rsid w:val="00E570C6"/>
    <w:rsid w:val="00E57A8C"/>
    <w:rsid w:val="00E60080"/>
    <w:rsid w:val="00E628A2"/>
    <w:rsid w:val="00E62F7E"/>
    <w:rsid w:val="00E64446"/>
    <w:rsid w:val="00E655C2"/>
    <w:rsid w:val="00E6616E"/>
    <w:rsid w:val="00E67349"/>
    <w:rsid w:val="00E6799E"/>
    <w:rsid w:val="00E709EF"/>
    <w:rsid w:val="00E71D47"/>
    <w:rsid w:val="00E72542"/>
    <w:rsid w:val="00E748BB"/>
    <w:rsid w:val="00E76037"/>
    <w:rsid w:val="00E767A4"/>
    <w:rsid w:val="00E76BFC"/>
    <w:rsid w:val="00E7732A"/>
    <w:rsid w:val="00E77362"/>
    <w:rsid w:val="00E77AA1"/>
    <w:rsid w:val="00E81226"/>
    <w:rsid w:val="00E83985"/>
    <w:rsid w:val="00E83A5A"/>
    <w:rsid w:val="00E83DE3"/>
    <w:rsid w:val="00E8425B"/>
    <w:rsid w:val="00E84821"/>
    <w:rsid w:val="00E85D07"/>
    <w:rsid w:val="00E8798F"/>
    <w:rsid w:val="00E9009C"/>
    <w:rsid w:val="00E90116"/>
    <w:rsid w:val="00E91A1F"/>
    <w:rsid w:val="00E91F22"/>
    <w:rsid w:val="00E92373"/>
    <w:rsid w:val="00E9285E"/>
    <w:rsid w:val="00E93253"/>
    <w:rsid w:val="00E94890"/>
    <w:rsid w:val="00E950CC"/>
    <w:rsid w:val="00E96ACA"/>
    <w:rsid w:val="00EA00C3"/>
    <w:rsid w:val="00EA1604"/>
    <w:rsid w:val="00EA3514"/>
    <w:rsid w:val="00EA3B06"/>
    <w:rsid w:val="00EA4C3B"/>
    <w:rsid w:val="00EA574E"/>
    <w:rsid w:val="00EA6275"/>
    <w:rsid w:val="00EB0411"/>
    <w:rsid w:val="00EB0C0E"/>
    <w:rsid w:val="00EB105D"/>
    <w:rsid w:val="00EB15D0"/>
    <w:rsid w:val="00EB191E"/>
    <w:rsid w:val="00EB2A08"/>
    <w:rsid w:val="00EB499C"/>
    <w:rsid w:val="00EB4D09"/>
    <w:rsid w:val="00EB4F92"/>
    <w:rsid w:val="00EB6C3B"/>
    <w:rsid w:val="00EB6DD8"/>
    <w:rsid w:val="00EB7017"/>
    <w:rsid w:val="00EB7030"/>
    <w:rsid w:val="00EB7732"/>
    <w:rsid w:val="00EC0479"/>
    <w:rsid w:val="00EC0631"/>
    <w:rsid w:val="00EC1446"/>
    <w:rsid w:val="00EC321E"/>
    <w:rsid w:val="00EC42B2"/>
    <w:rsid w:val="00EC453F"/>
    <w:rsid w:val="00EC47D8"/>
    <w:rsid w:val="00EC5E02"/>
    <w:rsid w:val="00EC6ACC"/>
    <w:rsid w:val="00ED05F8"/>
    <w:rsid w:val="00ED22C3"/>
    <w:rsid w:val="00ED53BD"/>
    <w:rsid w:val="00ED544C"/>
    <w:rsid w:val="00ED5C97"/>
    <w:rsid w:val="00ED5E7C"/>
    <w:rsid w:val="00EE2059"/>
    <w:rsid w:val="00EE3E35"/>
    <w:rsid w:val="00EE4366"/>
    <w:rsid w:val="00EE662A"/>
    <w:rsid w:val="00EE774C"/>
    <w:rsid w:val="00EF0595"/>
    <w:rsid w:val="00EF0915"/>
    <w:rsid w:val="00EF1D4A"/>
    <w:rsid w:val="00EF1FA9"/>
    <w:rsid w:val="00EF2F8A"/>
    <w:rsid w:val="00EF4C40"/>
    <w:rsid w:val="00F01531"/>
    <w:rsid w:val="00F02335"/>
    <w:rsid w:val="00F025B1"/>
    <w:rsid w:val="00F035B0"/>
    <w:rsid w:val="00F076F5"/>
    <w:rsid w:val="00F077D7"/>
    <w:rsid w:val="00F10248"/>
    <w:rsid w:val="00F106DF"/>
    <w:rsid w:val="00F1219A"/>
    <w:rsid w:val="00F13614"/>
    <w:rsid w:val="00F14EA6"/>
    <w:rsid w:val="00F14F44"/>
    <w:rsid w:val="00F16312"/>
    <w:rsid w:val="00F210BF"/>
    <w:rsid w:val="00F210ED"/>
    <w:rsid w:val="00F21E10"/>
    <w:rsid w:val="00F230E4"/>
    <w:rsid w:val="00F23823"/>
    <w:rsid w:val="00F24ACB"/>
    <w:rsid w:val="00F24EA6"/>
    <w:rsid w:val="00F2549B"/>
    <w:rsid w:val="00F25E30"/>
    <w:rsid w:val="00F27333"/>
    <w:rsid w:val="00F3154C"/>
    <w:rsid w:val="00F32167"/>
    <w:rsid w:val="00F33BD0"/>
    <w:rsid w:val="00F34B67"/>
    <w:rsid w:val="00F354BE"/>
    <w:rsid w:val="00F357E0"/>
    <w:rsid w:val="00F35BEF"/>
    <w:rsid w:val="00F41511"/>
    <w:rsid w:val="00F4179E"/>
    <w:rsid w:val="00F41B56"/>
    <w:rsid w:val="00F41D85"/>
    <w:rsid w:val="00F42B3D"/>
    <w:rsid w:val="00F42B83"/>
    <w:rsid w:val="00F42E05"/>
    <w:rsid w:val="00F44762"/>
    <w:rsid w:val="00F454F5"/>
    <w:rsid w:val="00F45937"/>
    <w:rsid w:val="00F46B4E"/>
    <w:rsid w:val="00F51F30"/>
    <w:rsid w:val="00F52D7E"/>
    <w:rsid w:val="00F53A75"/>
    <w:rsid w:val="00F549DC"/>
    <w:rsid w:val="00F54A54"/>
    <w:rsid w:val="00F55DFD"/>
    <w:rsid w:val="00F568B1"/>
    <w:rsid w:val="00F57081"/>
    <w:rsid w:val="00F62633"/>
    <w:rsid w:val="00F63656"/>
    <w:rsid w:val="00F65F5B"/>
    <w:rsid w:val="00F661FB"/>
    <w:rsid w:val="00F67CD3"/>
    <w:rsid w:val="00F7041E"/>
    <w:rsid w:val="00F704A2"/>
    <w:rsid w:val="00F723FA"/>
    <w:rsid w:val="00F74225"/>
    <w:rsid w:val="00F75C72"/>
    <w:rsid w:val="00F76CA2"/>
    <w:rsid w:val="00F77582"/>
    <w:rsid w:val="00F80ACF"/>
    <w:rsid w:val="00F81B15"/>
    <w:rsid w:val="00F81BD4"/>
    <w:rsid w:val="00F8252B"/>
    <w:rsid w:val="00F8287C"/>
    <w:rsid w:val="00F8405D"/>
    <w:rsid w:val="00F8472E"/>
    <w:rsid w:val="00F85478"/>
    <w:rsid w:val="00F858CF"/>
    <w:rsid w:val="00F85C22"/>
    <w:rsid w:val="00F937BA"/>
    <w:rsid w:val="00F9422E"/>
    <w:rsid w:val="00F95D73"/>
    <w:rsid w:val="00F9619C"/>
    <w:rsid w:val="00F97B2E"/>
    <w:rsid w:val="00FA0CF3"/>
    <w:rsid w:val="00FA272A"/>
    <w:rsid w:val="00FA307E"/>
    <w:rsid w:val="00FA3CCB"/>
    <w:rsid w:val="00FA3E35"/>
    <w:rsid w:val="00FA5D93"/>
    <w:rsid w:val="00FB0082"/>
    <w:rsid w:val="00FB07E1"/>
    <w:rsid w:val="00FB1776"/>
    <w:rsid w:val="00FB21CC"/>
    <w:rsid w:val="00FB2511"/>
    <w:rsid w:val="00FB34D1"/>
    <w:rsid w:val="00FB4314"/>
    <w:rsid w:val="00FB54C3"/>
    <w:rsid w:val="00FB6AE3"/>
    <w:rsid w:val="00FB6B86"/>
    <w:rsid w:val="00FB6DCF"/>
    <w:rsid w:val="00FC10F8"/>
    <w:rsid w:val="00FC1B3D"/>
    <w:rsid w:val="00FC1FE3"/>
    <w:rsid w:val="00FC361D"/>
    <w:rsid w:val="00FC36AB"/>
    <w:rsid w:val="00FC4061"/>
    <w:rsid w:val="00FC42B6"/>
    <w:rsid w:val="00FC5588"/>
    <w:rsid w:val="00FC5E6D"/>
    <w:rsid w:val="00FD024D"/>
    <w:rsid w:val="00FD06B5"/>
    <w:rsid w:val="00FD2573"/>
    <w:rsid w:val="00FD3B55"/>
    <w:rsid w:val="00FD45DA"/>
    <w:rsid w:val="00FD5D11"/>
    <w:rsid w:val="00FD634D"/>
    <w:rsid w:val="00FD6A4E"/>
    <w:rsid w:val="00FD759C"/>
    <w:rsid w:val="00FD791C"/>
    <w:rsid w:val="00FE129B"/>
    <w:rsid w:val="00FE191C"/>
    <w:rsid w:val="00FE1D9A"/>
    <w:rsid w:val="00FE3B48"/>
    <w:rsid w:val="00FE7319"/>
    <w:rsid w:val="00FE7923"/>
    <w:rsid w:val="00FF0A09"/>
    <w:rsid w:val="00FF3CBE"/>
    <w:rsid w:val="00FF4261"/>
    <w:rsid w:val="00FF42FB"/>
    <w:rsid w:val="00FF4938"/>
    <w:rsid w:val="00FF4A15"/>
    <w:rsid w:val="00FF4B3C"/>
    <w:rsid w:val="00FF5A8D"/>
    <w:rsid w:val="00FF6697"/>
    <w:rsid w:val="00FF6B88"/>
    <w:rsid w:val="00FF6CDA"/>
    <w:rsid w:val="00FF786E"/>
    <w:rsid w:val="017E50D2"/>
    <w:rsid w:val="01AE6A16"/>
    <w:rsid w:val="020769E8"/>
    <w:rsid w:val="020C5FCF"/>
    <w:rsid w:val="02756050"/>
    <w:rsid w:val="04333FF8"/>
    <w:rsid w:val="04DF28C6"/>
    <w:rsid w:val="04E7407F"/>
    <w:rsid w:val="056E578F"/>
    <w:rsid w:val="068F01DB"/>
    <w:rsid w:val="09125F6C"/>
    <w:rsid w:val="09AC64C2"/>
    <w:rsid w:val="0A600591"/>
    <w:rsid w:val="0C0839F9"/>
    <w:rsid w:val="0FA44F1C"/>
    <w:rsid w:val="10505496"/>
    <w:rsid w:val="11FC1ECD"/>
    <w:rsid w:val="12C624DB"/>
    <w:rsid w:val="13D10F3E"/>
    <w:rsid w:val="14FC1CB2"/>
    <w:rsid w:val="154C0A41"/>
    <w:rsid w:val="160D2854"/>
    <w:rsid w:val="16306156"/>
    <w:rsid w:val="16DB0F8B"/>
    <w:rsid w:val="19AC5F87"/>
    <w:rsid w:val="1C543106"/>
    <w:rsid w:val="1C7765A2"/>
    <w:rsid w:val="1D880AB9"/>
    <w:rsid w:val="1EBF379B"/>
    <w:rsid w:val="200A39FA"/>
    <w:rsid w:val="218973A0"/>
    <w:rsid w:val="229D089A"/>
    <w:rsid w:val="23272A5F"/>
    <w:rsid w:val="234D6F7F"/>
    <w:rsid w:val="24324FEC"/>
    <w:rsid w:val="243D7034"/>
    <w:rsid w:val="2A3C05B3"/>
    <w:rsid w:val="2ABF0C49"/>
    <w:rsid w:val="2B0669D8"/>
    <w:rsid w:val="2B7A3CFF"/>
    <w:rsid w:val="2B8E1EA8"/>
    <w:rsid w:val="2B955DD7"/>
    <w:rsid w:val="2BBD2BC7"/>
    <w:rsid w:val="2D621490"/>
    <w:rsid w:val="2DDA1E60"/>
    <w:rsid w:val="2EC359E6"/>
    <w:rsid w:val="2FBE03EA"/>
    <w:rsid w:val="3096561A"/>
    <w:rsid w:val="3130765E"/>
    <w:rsid w:val="32251C8E"/>
    <w:rsid w:val="364F4412"/>
    <w:rsid w:val="36DB784D"/>
    <w:rsid w:val="375D5156"/>
    <w:rsid w:val="3AED3BD1"/>
    <w:rsid w:val="3AF86E19"/>
    <w:rsid w:val="3CCD52A4"/>
    <w:rsid w:val="3F4B58FB"/>
    <w:rsid w:val="413A63DF"/>
    <w:rsid w:val="416C101B"/>
    <w:rsid w:val="443A5F3C"/>
    <w:rsid w:val="44CF0783"/>
    <w:rsid w:val="460E45B8"/>
    <w:rsid w:val="49386090"/>
    <w:rsid w:val="4BDD656C"/>
    <w:rsid w:val="4CEA67EB"/>
    <w:rsid w:val="4E684760"/>
    <w:rsid w:val="4ED3247E"/>
    <w:rsid w:val="504B134F"/>
    <w:rsid w:val="50EE4AFC"/>
    <w:rsid w:val="52B63AAB"/>
    <w:rsid w:val="55F51965"/>
    <w:rsid w:val="56BF4837"/>
    <w:rsid w:val="57BA4F82"/>
    <w:rsid w:val="57F67954"/>
    <w:rsid w:val="58925778"/>
    <w:rsid w:val="59B60181"/>
    <w:rsid w:val="5A0F7F65"/>
    <w:rsid w:val="5A2523F5"/>
    <w:rsid w:val="5AA71877"/>
    <w:rsid w:val="5C341902"/>
    <w:rsid w:val="5EAE62F3"/>
    <w:rsid w:val="603C4BDC"/>
    <w:rsid w:val="61392912"/>
    <w:rsid w:val="637304B2"/>
    <w:rsid w:val="650A75D2"/>
    <w:rsid w:val="66A93299"/>
    <w:rsid w:val="66B75538"/>
    <w:rsid w:val="67C654AF"/>
    <w:rsid w:val="68B61D93"/>
    <w:rsid w:val="6A5553D1"/>
    <w:rsid w:val="6ADA7CC8"/>
    <w:rsid w:val="6B7C1C20"/>
    <w:rsid w:val="6BFF1297"/>
    <w:rsid w:val="6DAB2AD4"/>
    <w:rsid w:val="6F54447F"/>
    <w:rsid w:val="70FA0B0D"/>
    <w:rsid w:val="728A0037"/>
    <w:rsid w:val="73264F80"/>
    <w:rsid w:val="74BA12B8"/>
    <w:rsid w:val="74BE09E3"/>
    <w:rsid w:val="760337F0"/>
    <w:rsid w:val="760C5DF6"/>
    <w:rsid w:val="766436B2"/>
    <w:rsid w:val="77024D0C"/>
    <w:rsid w:val="77761666"/>
    <w:rsid w:val="782D6510"/>
    <w:rsid w:val="78EC6C0C"/>
    <w:rsid w:val="79C7027F"/>
    <w:rsid w:val="7B4D1359"/>
    <w:rsid w:val="7BEE2B5B"/>
    <w:rsid w:val="7C850BD8"/>
    <w:rsid w:val="7D41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2" w:semiHidden="0" w:name="heading 3"/>
    <w:lsdException w:qFormat="1" w:unhideWhenUsed="0" w:uiPriority="3" w:semiHidden="0" w:name="heading 4"/>
    <w:lsdException w:qFormat="1" w:uiPriority="9" w:semiHidden="0" w:name="heading 5"/>
    <w:lsdException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3"/>
    <w:next w:val="3"/>
    <w:link w:val="30"/>
    <w:qFormat/>
    <w:uiPriority w:val="0"/>
    <w:pPr>
      <w:numPr>
        <w:ilvl w:val="0"/>
        <w:numId w:val="1"/>
      </w:numPr>
      <w:spacing w:before="120" w:after="60"/>
      <w:ind w:firstLine="0" w:firstLineChars="0"/>
      <w:jc w:val="left"/>
      <w:outlineLvl w:val="0"/>
    </w:pPr>
    <w:rPr>
      <w:rFonts w:eastAsia="黑体"/>
      <w:bCs/>
      <w:kern w:val="44"/>
      <w:szCs w:val="44"/>
    </w:rPr>
  </w:style>
  <w:style w:type="paragraph" w:styleId="4">
    <w:name w:val="heading 2"/>
    <w:basedOn w:val="3"/>
    <w:next w:val="3"/>
    <w:link w:val="31"/>
    <w:qFormat/>
    <w:uiPriority w:val="1"/>
    <w:pPr>
      <w:keepNext/>
      <w:keepLines/>
      <w:numPr>
        <w:ilvl w:val="1"/>
        <w:numId w:val="1"/>
      </w:numPr>
      <w:adjustRightInd w:val="0"/>
      <w:spacing w:before="120" w:after="60"/>
      <w:ind w:left="0" w:firstLine="200"/>
      <w:outlineLvl w:val="1"/>
    </w:pPr>
    <w:rPr>
      <w:rFonts w:eastAsia="楷体_GB2312" w:cstheme="majorBidi"/>
      <w:b/>
      <w:bCs/>
      <w:szCs w:val="32"/>
    </w:rPr>
  </w:style>
  <w:style w:type="paragraph" w:styleId="5">
    <w:name w:val="heading 3"/>
    <w:basedOn w:val="3"/>
    <w:next w:val="3"/>
    <w:link w:val="32"/>
    <w:qFormat/>
    <w:uiPriority w:val="2"/>
    <w:pPr>
      <w:keepNext/>
      <w:keepLines/>
      <w:numPr>
        <w:ilvl w:val="2"/>
        <w:numId w:val="1"/>
      </w:numPr>
      <w:adjustRightInd w:val="0"/>
      <w:spacing w:before="120" w:after="60"/>
      <w:ind w:left="0" w:firstLine="200"/>
      <w:outlineLvl w:val="2"/>
    </w:pPr>
    <w:rPr>
      <w:bCs/>
      <w:szCs w:val="32"/>
    </w:rPr>
  </w:style>
  <w:style w:type="paragraph" w:styleId="6">
    <w:name w:val="heading 4"/>
    <w:basedOn w:val="3"/>
    <w:next w:val="1"/>
    <w:link w:val="33"/>
    <w:qFormat/>
    <w:uiPriority w:val="3"/>
    <w:pPr>
      <w:keepNext/>
      <w:keepLines/>
      <w:numPr>
        <w:ilvl w:val="3"/>
        <w:numId w:val="1"/>
      </w:numPr>
      <w:spacing w:before="120" w:after="60"/>
      <w:ind w:firstLine="0" w:firstLineChars="0"/>
      <w:outlineLvl w:val="3"/>
    </w:pPr>
    <w:rPr>
      <w:rFonts w:cstheme="majorBidi"/>
      <w:b/>
      <w:bCs/>
    </w:rPr>
  </w:style>
  <w:style w:type="paragraph" w:styleId="7">
    <w:name w:val="heading 5"/>
    <w:basedOn w:val="3"/>
    <w:next w:val="3"/>
    <w:link w:val="34"/>
    <w:unhideWhenUsed/>
    <w:qFormat/>
    <w:uiPriority w:val="9"/>
    <w:pPr>
      <w:keepNext/>
      <w:keepLines/>
      <w:numPr>
        <w:ilvl w:val="4"/>
        <w:numId w:val="1"/>
      </w:numPr>
      <w:spacing w:before="120" w:after="60"/>
      <w:ind w:firstLine="0" w:firstLineChars="0"/>
      <w:outlineLvl w:val="4"/>
    </w:pPr>
    <w:rPr>
      <w:b/>
      <w:bCs/>
    </w:r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3">
    <w:name w:val="汇政正文"/>
    <w:basedOn w:val="1"/>
    <w:link w:val="42"/>
    <w:qFormat/>
    <w:uiPriority w:val="3"/>
    <w:pPr>
      <w:spacing w:line="600" w:lineRule="exact"/>
      <w:ind w:firstLine="640" w:firstLineChars="200"/>
    </w:pPr>
    <w:rPr>
      <w:rFonts w:ascii="Times New Roman" w:hAnsi="Times New Roman" w:eastAsia="仿宋_GB2312" w:cs="Times New Roman"/>
      <w:kern w:val="0"/>
      <w:sz w:val="32"/>
      <w:szCs w:val="28"/>
      <w:lang w:val="zh-CN"/>
    </w:rPr>
  </w:style>
  <w:style w:type="paragraph" w:styleId="8">
    <w:name w:val="Normal Indent"/>
    <w:basedOn w:val="1"/>
    <w:unhideWhenUsed/>
    <w:qFormat/>
    <w:uiPriority w:val="99"/>
    <w:pPr>
      <w:ind w:firstLine="420" w:firstLineChars="200"/>
    </w:pPr>
  </w:style>
  <w:style w:type="paragraph" w:styleId="9">
    <w:name w:val="caption"/>
    <w:basedOn w:val="1"/>
    <w:next w:val="1"/>
    <w:unhideWhenUsed/>
    <w:qFormat/>
    <w:uiPriority w:val="35"/>
    <w:rPr>
      <w:rFonts w:eastAsia="黑体" w:asciiTheme="majorHAnsi" w:hAnsiTheme="majorHAnsi" w:cstheme="majorBidi"/>
      <w:sz w:val="20"/>
      <w:szCs w:val="20"/>
    </w:rPr>
  </w:style>
  <w:style w:type="paragraph" w:styleId="10">
    <w:name w:val="annotation text"/>
    <w:basedOn w:val="1"/>
    <w:link w:val="64"/>
    <w:unhideWhenUsed/>
    <w:qFormat/>
    <w:uiPriority w:val="99"/>
    <w:pPr>
      <w:jc w:val="left"/>
    </w:pPr>
  </w:style>
  <w:style w:type="paragraph" w:styleId="11">
    <w:name w:val="Body Text"/>
    <w:qFormat/>
    <w:uiPriority w:val="0"/>
    <w:pPr>
      <w:widowControl w:val="0"/>
      <w:jc w:val="both"/>
    </w:pPr>
    <w:rPr>
      <w:rFonts w:eastAsia="仿宋_GB2312" w:asciiTheme="minorHAnsi" w:hAnsiTheme="minorHAnsi" w:cstheme="minorBidi"/>
      <w:kern w:val="2"/>
      <w:sz w:val="24"/>
      <w:szCs w:val="20"/>
      <w:lang w:val="en-US" w:eastAsia="zh-CN" w:bidi="ar-SA"/>
    </w:rPr>
  </w:style>
  <w:style w:type="paragraph" w:styleId="12">
    <w:name w:val="toc 3"/>
    <w:basedOn w:val="1"/>
    <w:next w:val="1"/>
    <w:unhideWhenUsed/>
    <w:qFormat/>
    <w:uiPriority w:val="39"/>
    <w:pPr>
      <w:ind w:left="840" w:leftChars="400"/>
    </w:pPr>
  </w:style>
  <w:style w:type="paragraph" w:styleId="13">
    <w:name w:val="endnote text"/>
    <w:basedOn w:val="1"/>
    <w:link w:val="67"/>
    <w:semiHidden/>
    <w:unhideWhenUsed/>
    <w:qFormat/>
    <w:uiPriority w:val="99"/>
    <w:pPr>
      <w:snapToGrid w:val="0"/>
      <w:jc w:val="left"/>
    </w:pPr>
  </w:style>
  <w:style w:type="paragraph" w:styleId="14">
    <w:name w:val="Balloon Text"/>
    <w:basedOn w:val="1"/>
    <w:link w:val="36"/>
    <w:semiHidden/>
    <w:unhideWhenUsed/>
    <w:qFormat/>
    <w:uiPriority w:val="99"/>
    <w:rPr>
      <w:sz w:val="18"/>
      <w:szCs w:val="18"/>
    </w:rPr>
  </w:style>
  <w:style w:type="paragraph" w:styleId="15">
    <w:name w:val="footer"/>
    <w:basedOn w:val="1"/>
    <w:link w:val="37"/>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16">
    <w:name w:val="header"/>
    <w:basedOn w:val="1"/>
    <w:link w:val="59"/>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3"/>
    <w:next w:val="3"/>
    <w:unhideWhenUsed/>
    <w:qFormat/>
    <w:uiPriority w:val="39"/>
    <w:pPr>
      <w:tabs>
        <w:tab w:val="right" w:leader="dot" w:pos="8296"/>
      </w:tabs>
      <w:spacing w:line="460" w:lineRule="exact"/>
      <w:ind w:firstLine="0" w:firstLineChars="0"/>
    </w:pPr>
    <w:rPr>
      <w:b/>
    </w:rPr>
  </w:style>
  <w:style w:type="paragraph" w:styleId="18">
    <w:name w:val="Subtitle"/>
    <w:basedOn w:val="1"/>
    <w:next w:val="1"/>
    <w:link w:val="66"/>
    <w:qFormat/>
    <w:uiPriority w:val="0"/>
    <w:pPr>
      <w:spacing w:line="500" w:lineRule="exact"/>
      <w:ind w:firstLine="200" w:firstLineChars="200"/>
    </w:pPr>
    <w:rPr>
      <w:rFonts w:ascii="Times New Roman" w:hAnsi="Times New Roman" w:eastAsia="仿宋_GB2312" w:cstheme="majorBidi"/>
      <w:bCs/>
      <w:kern w:val="28"/>
      <w:sz w:val="28"/>
      <w:szCs w:val="32"/>
    </w:rPr>
  </w:style>
  <w:style w:type="paragraph" w:styleId="19">
    <w:name w:val="footnote text"/>
    <w:basedOn w:val="1"/>
    <w:link w:val="56"/>
    <w:qFormat/>
    <w:uiPriority w:val="0"/>
    <w:pPr>
      <w:snapToGrid w:val="0"/>
      <w:jc w:val="left"/>
    </w:pPr>
    <w:rPr>
      <w:rFonts w:ascii="Times New Roman" w:hAnsi="Times New Roman" w:eastAsia="仿宋_GB2312"/>
      <w:sz w:val="18"/>
      <w:szCs w:val="18"/>
    </w:rPr>
  </w:style>
  <w:style w:type="paragraph" w:styleId="20">
    <w:name w:val="toc 2"/>
    <w:basedOn w:val="3"/>
    <w:next w:val="3"/>
    <w:unhideWhenUsed/>
    <w:qFormat/>
    <w:uiPriority w:val="39"/>
    <w:pPr>
      <w:tabs>
        <w:tab w:val="right" w:leader="dot" w:pos="8296"/>
      </w:tabs>
      <w:spacing w:line="460" w:lineRule="exact"/>
      <w:ind w:left="420" w:leftChars="200" w:firstLine="0" w:firstLineChars="0"/>
    </w:pPr>
  </w:style>
  <w:style w:type="paragraph" w:styleId="21">
    <w:name w:val="annotation subject"/>
    <w:basedOn w:val="10"/>
    <w:next w:val="10"/>
    <w:link w:val="65"/>
    <w:semiHidden/>
    <w:unhideWhenUsed/>
    <w:qFormat/>
    <w:uiPriority w:val="99"/>
    <w:rPr>
      <w:b/>
      <w:bCs/>
    </w:rPr>
  </w:style>
  <w:style w:type="table" w:styleId="23">
    <w:name w:val="Table Grid"/>
    <w:basedOn w:val="22"/>
    <w:qFormat/>
    <w:uiPriority w:val="99"/>
    <w:pPr>
      <w:spacing w:line="300" w:lineRule="exact"/>
      <w:jc w:val="center"/>
    </w:pPr>
    <w:rPr>
      <w:rFonts w:ascii="Times New Roman" w:hAnsi="Times New Roman" w:eastAsia="仿宋_GB231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blHeader/>
    </w:trPr>
    <w:tcPr>
      <w:vAlign w:val="center"/>
    </w:tcPr>
  </w:style>
  <w:style w:type="character" w:styleId="25">
    <w:name w:val="endnote reference"/>
    <w:basedOn w:val="24"/>
    <w:semiHidden/>
    <w:unhideWhenUsed/>
    <w:qFormat/>
    <w:uiPriority w:val="99"/>
    <w:rPr>
      <w:vertAlign w:val="superscript"/>
    </w:rPr>
  </w:style>
  <w:style w:type="character" w:styleId="26">
    <w:name w:val="FollowedHyperlink"/>
    <w:basedOn w:val="24"/>
    <w:semiHidden/>
    <w:unhideWhenUsed/>
    <w:qFormat/>
    <w:uiPriority w:val="99"/>
    <w:rPr>
      <w:color w:val="954F72"/>
      <w:u w:val="single"/>
    </w:rPr>
  </w:style>
  <w:style w:type="character" w:styleId="27">
    <w:name w:val="Hyperlink"/>
    <w:basedOn w:val="24"/>
    <w:unhideWhenUsed/>
    <w:qFormat/>
    <w:uiPriority w:val="99"/>
    <w:rPr>
      <w:color w:val="0563C1" w:themeColor="hyperlink"/>
      <w:u w:val="single"/>
      <w14:textFill>
        <w14:solidFill>
          <w14:schemeClr w14:val="hlink"/>
        </w14:solidFill>
      </w14:textFill>
    </w:rPr>
  </w:style>
  <w:style w:type="character" w:styleId="28">
    <w:name w:val="annotation reference"/>
    <w:basedOn w:val="24"/>
    <w:semiHidden/>
    <w:unhideWhenUsed/>
    <w:qFormat/>
    <w:uiPriority w:val="99"/>
    <w:rPr>
      <w:sz w:val="21"/>
      <w:szCs w:val="21"/>
    </w:rPr>
  </w:style>
  <w:style w:type="character" w:styleId="29">
    <w:name w:val="footnote reference"/>
    <w:qFormat/>
    <w:uiPriority w:val="0"/>
    <w:rPr>
      <w:vertAlign w:val="superscript"/>
    </w:rPr>
  </w:style>
  <w:style w:type="character" w:customStyle="1" w:styleId="30">
    <w:name w:val="标题 1 字符"/>
    <w:basedOn w:val="24"/>
    <w:link w:val="2"/>
    <w:qFormat/>
    <w:uiPriority w:val="0"/>
    <w:rPr>
      <w:rFonts w:ascii="Times New Roman" w:hAnsi="Times New Roman" w:eastAsia="黑体" w:cs="Times New Roman"/>
      <w:bCs/>
      <w:kern w:val="44"/>
      <w:sz w:val="32"/>
      <w:szCs w:val="44"/>
      <w:lang w:val="zh-CN"/>
    </w:rPr>
  </w:style>
  <w:style w:type="character" w:customStyle="1" w:styleId="31">
    <w:name w:val="标题 2 字符"/>
    <w:basedOn w:val="24"/>
    <w:link w:val="4"/>
    <w:qFormat/>
    <w:uiPriority w:val="1"/>
    <w:rPr>
      <w:rFonts w:ascii="Times New Roman" w:hAnsi="Times New Roman" w:eastAsia="楷体_GB2312" w:cstheme="majorBidi"/>
      <w:b/>
      <w:bCs/>
      <w:sz w:val="32"/>
      <w:szCs w:val="32"/>
      <w:lang w:val="zh-CN"/>
    </w:rPr>
  </w:style>
  <w:style w:type="character" w:customStyle="1" w:styleId="32">
    <w:name w:val="标题 3 字符"/>
    <w:basedOn w:val="24"/>
    <w:link w:val="5"/>
    <w:qFormat/>
    <w:uiPriority w:val="0"/>
    <w:rPr>
      <w:rFonts w:ascii="Times New Roman" w:hAnsi="Times New Roman" w:eastAsia="仿宋_GB2312" w:cs="Times New Roman"/>
      <w:bCs/>
      <w:sz w:val="32"/>
      <w:szCs w:val="32"/>
      <w:lang w:val="zh-CN"/>
    </w:rPr>
  </w:style>
  <w:style w:type="character" w:customStyle="1" w:styleId="33">
    <w:name w:val="标题 4 字符"/>
    <w:basedOn w:val="24"/>
    <w:link w:val="6"/>
    <w:qFormat/>
    <w:uiPriority w:val="3"/>
    <w:rPr>
      <w:rFonts w:ascii="Times New Roman" w:hAnsi="Times New Roman" w:eastAsia="仿宋_GB2312" w:cstheme="majorBidi"/>
      <w:b/>
      <w:bCs/>
      <w:kern w:val="0"/>
      <w:sz w:val="28"/>
      <w:szCs w:val="28"/>
      <w:lang w:val="zh-CN" w:eastAsia="zh-CN"/>
    </w:rPr>
  </w:style>
  <w:style w:type="character" w:customStyle="1" w:styleId="34">
    <w:name w:val="标题 5 字符"/>
    <w:basedOn w:val="24"/>
    <w:link w:val="7"/>
    <w:qFormat/>
    <w:uiPriority w:val="9"/>
    <w:rPr>
      <w:rFonts w:ascii="Times New Roman" w:hAnsi="Times New Roman" w:eastAsia="仿宋_GB2312" w:cs="Times New Roman"/>
      <w:b/>
      <w:bCs/>
      <w:kern w:val="0"/>
      <w:sz w:val="28"/>
      <w:szCs w:val="28"/>
      <w:lang w:val="zh-CN" w:eastAsia="zh-CN"/>
    </w:rPr>
  </w:style>
  <w:style w:type="paragraph" w:customStyle="1" w:styleId="35">
    <w:name w:val="TOC 标题1"/>
    <w:basedOn w:val="2"/>
    <w:next w:val="1"/>
    <w:unhideWhenUsed/>
    <w:qFormat/>
    <w:uiPriority w:val="39"/>
    <w:pPr>
      <w:widowControl/>
      <w:numPr>
        <w:numId w:val="0"/>
      </w:numPr>
      <w:spacing w:before="240" w:after="0" w:line="259" w:lineRule="auto"/>
      <w:outlineLvl w:val="9"/>
    </w:pPr>
    <w:rPr>
      <w:rFonts w:asciiTheme="majorHAnsi" w:hAnsiTheme="majorHAnsi" w:eastAsiaTheme="majorEastAsia" w:cstheme="majorBidi"/>
      <w:b/>
      <w:bCs w:val="0"/>
      <w:color w:val="2F5597" w:themeColor="accent1" w:themeShade="BF"/>
      <w:kern w:val="0"/>
      <w:szCs w:val="32"/>
    </w:rPr>
  </w:style>
  <w:style w:type="character" w:customStyle="1" w:styleId="36">
    <w:name w:val="批注框文本 字符"/>
    <w:basedOn w:val="24"/>
    <w:link w:val="14"/>
    <w:semiHidden/>
    <w:qFormat/>
    <w:uiPriority w:val="99"/>
    <w:rPr>
      <w:sz w:val="18"/>
      <w:szCs w:val="18"/>
    </w:rPr>
  </w:style>
  <w:style w:type="character" w:customStyle="1" w:styleId="37">
    <w:name w:val="页脚 字符"/>
    <w:basedOn w:val="24"/>
    <w:link w:val="15"/>
    <w:qFormat/>
    <w:uiPriority w:val="99"/>
    <w:rPr>
      <w:rFonts w:ascii="Calibri" w:hAnsi="Calibri" w:eastAsia="宋体" w:cs="Times New Roman"/>
      <w:sz w:val="18"/>
      <w:szCs w:val="18"/>
    </w:rPr>
  </w:style>
  <w:style w:type="paragraph" w:customStyle="1" w:styleId="38">
    <w:name w:val="汇政封面标题"/>
    <w:basedOn w:val="1"/>
    <w:next w:val="39"/>
    <w:qFormat/>
    <w:uiPriority w:val="0"/>
    <w:pPr>
      <w:spacing w:before="480" w:after="360"/>
      <w:jc w:val="center"/>
    </w:pPr>
    <w:rPr>
      <w:rFonts w:ascii="Times New Roman" w:hAnsi="Times New Roman" w:eastAsia="黑体" w:cs="Times New Roman"/>
      <w:b/>
      <w:snapToGrid w:val="0"/>
      <w:sz w:val="32"/>
      <w:szCs w:val="24"/>
    </w:rPr>
  </w:style>
  <w:style w:type="paragraph" w:customStyle="1" w:styleId="39">
    <w:name w:val="汇政封面项目信息"/>
    <w:basedOn w:val="1"/>
    <w:next w:val="40"/>
    <w:qFormat/>
    <w:uiPriority w:val="0"/>
    <w:pPr>
      <w:spacing w:before="120"/>
      <w:ind w:left="800" w:leftChars="800"/>
      <w:jc w:val="left"/>
    </w:pPr>
    <w:rPr>
      <w:rFonts w:ascii="Times New Roman" w:hAnsi="Times New Roman" w:eastAsia="黑体" w:cs="Times New Roman"/>
      <w:kern w:val="0"/>
      <w:sz w:val="28"/>
      <w:szCs w:val="28"/>
      <w:lang w:val="zh-CN"/>
    </w:rPr>
  </w:style>
  <w:style w:type="paragraph" w:customStyle="1" w:styleId="40">
    <w:name w:val="汇政封面完成时间"/>
    <w:basedOn w:val="39"/>
    <w:qFormat/>
    <w:uiPriority w:val="0"/>
    <w:pPr>
      <w:ind w:left="0" w:leftChars="0"/>
      <w:jc w:val="center"/>
    </w:pPr>
    <w:rPr>
      <w:b/>
    </w:rPr>
  </w:style>
  <w:style w:type="paragraph" w:customStyle="1" w:styleId="41">
    <w:name w:val="汇政页码"/>
    <w:qFormat/>
    <w:uiPriority w:val="6"/>
    <w:pPr>
      <w:jc w:val="center"/>
    </w:pPr>
    <w:rPr>
      <w:rFonts w:ascii="Times New Roman" w:hAnsi="Times New Roman" w:eastAsia="Times New Roman" w:cs="Times New Roman"/>
      <w:sz w:val="21"/>
      <w:szCs w:val="28"/>
      <w:lang w:val="en-US" w:eastAsia="zh-CN" w:bidi="ar-SA"/>
    </w:rPr>
  </w:style>
  <w:style w:type="character" w:customStyle="1" w:styleId="42">
    <w:name w:val="汇政正文 字符"/>
    <w:link w:val="3"/>
    <w:qFormat/>
    <w:uiPriority w:val="3"/>
    <w:rPr>
      <w:rFonts w:ascii="Times New Roman" w:hAnsi="Times New Roman" w:eastAsia="仿宋_GB2312" w:cs="Times New Roman"/>
      <w:sz w:val="32"/>
      <w:szCs w:val="28"/>
      <w:lang w:val="zh-CN"/>
    </w:rPr>
  </w:style>
  <w:style w:type="paragraph" w:customStyle="1" w:styleId="43">
    <w:name w:val="汇政摘要标题"/>
    <w:basedOn w:val="1"/>
    <w:qFormat/>
    <w:uiPriority w:val="2"/>
    <w:pPr>
      <w:spacing w:before="480" w:after="360"/>
      <w:jc w:val="center"/>
      <w:outlineLvl w:val="0"/>
    </w:pPr>
    <w:rPr>
      <w:rFonts w:ascii="Times New Roman" w:hAnsi="Times New Roman" w:eastAsia="黑体" w:cs="Times New Roman"/>
      <w:b/>
      <w:snapToGrid w:val="0"/>
      <w:sz w:val="32"/>
      <w:szCs w:val="24"/>
    </w:rPr>
  </w:style>
  <w:style w:type="paragraph" w:customStyle="1" w:styleId="44">
    <w:name w:val="汇政图（表）注"/>
    <w:basedOn w:val="1"/>
    <w:link w:val="45"/>
    <w:qFormat/>
    <w:uiPriority w:val="5"/>
    <w:pPr>
      <w:spacing w:before="120"/>
    </w:pPr>
    <w:rPr>
      <w:rFonts w:ascii="Times New Roman" w:hAnsi="Times New Roman" w:eastAsia="仿宋_GB2312" w:cs="Arial"/>
      <w:kern w:val="0"/>
    </w:rPr>
  </w:style>
  <w:style w:type="character" w:customStyle="1" w:styleId="45">
    <w:name w:val="汇政图（表）注 字符"/>
    <w:link w:val="44"/>
    <w:qFormat/>
    <w:uiPriority w:val="5"/>
    <w:rPr>
      <w:rFonts w:ascii="Times New Roman" w:hAnsi="Times New Roman" w:eastAsia="仿宋_GB2312" w:cs="Arial"/>
      <w:kern w:val="0"/>
    </w:rPr>
  </w:style>
  <w:style w:type="paragraph" w:customStyle="1" w:styleId="46">
    <w:name w:val="汇政图表名"/>
    <w:basedOn w:val="1"/>
    <w:link w:val="47"/>
    <w:qFormat/>
    <w:uiPriority w:val="4"/>
    <w:pPr>
      <w:spacing w:before="60" w:after="60"/>
      <w:jc w:val="center"/>
    </w:pPr>
    <w:rPr>
      <w:rFonts w:ascii="Times New Roman" w:hAnsi="Times New Roman" w:eastAsia="仿宋_GB2312" w:cs="Times New Roman"/>
      <w:b/>
      <w:kern w:val="0"/>
      <w:sz w:val="24"/>
      <w:szCs w:val="28"/>
    </w:rPr>
  </w:style>
  <w:style w:type="character" w:customStyle="1" w:styleId="47">
    <w:name w:val="汇政图表名 字符"/>
    <w:link w:val="46"/>
    <w:qFormat/>
    <w:uiPriority w:val="4"/>
    <w:rPr>
      <w:rFonts w:ascii="Times New Roman" w:hAnsi="Times New Roman" w:eastAsia="仿宋_GB2312" w:cs="Times New Roman"/>
      <w:b/>
      <w:kern w:val="0"/>
      <w:sz w:val="24"/>
      <w:szCs w:val="28"/>
    </w:rPr>
  </w:style>
  <w:style w:type="paragraph" w:customStyle="1" w:styleId="48">
    <w:name w:val="汇政备注类"/>
    <w:basedOn w:val="3"/>
    <w:qFormat/>
    <w:uiPriority w:val="5"/>
    <w:pPr>
      <w:spacing w:line="240" w:lineRule="auto"/>
      <w:jc w:val="left"/>
    </w:pPr>
    <w:rPr>
      <w:rFonts w:cs="宋体"/>
      <w:sz w:val="21"/>
    </w:rPr>
  </w:style>
  <w:style w:type="paragraph" w:customStyle="1" w:styleId="49">
    <w:name w:val="汇政附件标题"/>
    <w:basedOn w:val="3"/>
    <w:qFormat/>
    <w:uiPriority w:val="6"/>
    <w:pPr>
      <w:numPr>
        <w:ilvl w:val="5"/>
        <w:numId w:val="1"/>
      </w:numPr>
      <w:spacing w:before="120" w:after="60" w:line="240" w:lineRule="auto"/>
      <w:ind w:firstLineChars="0"/>
      <w:outlineLvl w:val="0"/>
    </w:pPr>
    <w:rPr>
      <w:rFonts w:eastAsia="黑体"/>
      <w:b/>
    </w:rPr>
  </w:style>
  <w:style w:type="paragraph" w:customStyle="1" w:styleId="50">
    <w:name w:val="汇政附件正文"/>
    <w:basedOn w:val="3"/>
    <w:qFormat/>
    <w:uiPriority w:val="99"/>
    <w:rPr>
      <w:sz w:val="24"/>
    </w:rPr>
  </w:style>
  <w:style w:type="paragraph" w:customStyle="1" w:styleId="51">
    <w:name w:val="汇政附件报告名"/>
    <w:basedOn w:val="3"/>
    <w:qFormat/>
    <w:uiPriority w:val="9"/>
    <w:pPr>
      <w:spacing w:before="120" w:after="60"/>
      <w:ind w:firstLine="0" w:firstLineChars="0"/>
      <w:jc w:val="center"/>
    </w:pPr>
    <w:rPr>
      <w:b/>
    </w:rPr>
  </w:style>
  <w:style w:type="paragraph" w:customStyle="1" w:styleId="52">
    <w:name w:val="闻政附件一级标题"/>
    <w:basedOn w:val="51"/>
    <w:next w:val="50"/>
    <w:qFormat/>
    <w:uiPriority w:val="7"/>
    <w:pPr>
      <w:jc w:val="left"/>
    </w:pPr>
    <w:rPr>
      <w:rFonts w:cs="宋体"/>
    </w:rPr>
  </w:style>
  <w:style w:type="paragraph" w:customStyle="1" w:styleId="53">
    <w:name w:val="汇政附件二级标题"/>
    <w:basedOn w:val="52"/>
    <w:qFormat/>
    <w:uiPriority w:val="8"/>
    <w:rPr>
      <w:rFonts w:ascii="宋体" w:hAnsi="宋体" w:eastAsia="宋体"/>
    </w:rPr>
  </w:style>
  <w:style w:type="paragraph" w:customStyle="1" w:styleId="54">
    <w:name w:val="汇政附件三级标题"/>
    <w:basedOn w:val="53"/>
    <w:qFormat/>
    <w:uiPriority w:val="8"/>
    <w:rPr>
      <w:rFonts w:ascii="Times New Roman" w:hAnsi="Times New Roman" w:eastAsia="仿宋_GB2312"/>
    </w:rPr>
  </w:style>
  <w:style w:type="paragraph" w:customStyle="1" w:styleId="55">
    <w:name w:val="汇政附件四级标题"/>
    <w:basedOn w:val="54"/>
    <w:qFormat/>
    <w:uiPriority w:val="9"/>
    <w:pPr>
      <w:spacing w:before="0" w:after="0"/>
    </w:pPr>
  </w:style>
  <w:style w:type="character" w:customStyle="1" w:styleId="56">
    <w:name w:val="脚注文本 字符"/>
    <w:basedOn w:val="24"/>
    <w:link w:val="19"/>
    <w:qFormat/>
    <w:uiPriority w:val="0"/>
    <w:rPr>
      <w:rFonts w:ascii="Times New Roman" w:hAnsi="Times New Roman" w:eastAsia="仿宋_GB2312"/>
      <w:sz w:val="18"/>
      <w:szCs w:val="18"/>
    </w:rPr>
  </w:style>
  <w:style w:type="paragraph" w:customStyle="1" w:styleId="57">
    <w:name w:val="汇政脚注"/>
    <w:basedOn w:val="3"/>
    <w:qFormat/>
    <w:uiPriority w:val="9"/>
    <w:pPr>
      <w:spacing w:line="400" w:lineRule="exact"/>
      <w:ind w:firstLine="0" w:firstLineChars="0"/>
    </w:pPr>
    <w:rPr>
      <w:sz w:val="18"/>
    </w:rPr>
  </w:style>
  <w:style w:type="paragraph" w:customStyle="1" w:styleId="58">
    <w:name w:val="汇政目录标题"/>
    <w:basedOn w:val="38"/>
    <w:qFormat/>
    <w:uiPriority w:val="1"/>
  </w:style>
  <w:style w:type="character" w:customStyle="1" w:styleId="59">
    <w:name w:val="页眉 字符"/>
    <w:basedOn w:val="24"/>
    <w:link w:val="16"/>
    <w:qFormat/>
    <w:uiPriority w:val="99"/>
    <w:rPr>
      <w:sz w:val="18"/>
      <w:szCs w:val="18"/>
    </w:rPr>
  </w:style>
  <w:style w:type="table" w:customStyle="1" w:styleId="60">
    <w:name w:val="网格型浅色1"/>
    <w:basedOn w:val="22"/>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61">
    <w:name w:val="无格式表格 11"/>
    <w:basedOn w:val="22"/>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customStyle="1" w:styleId="62">
    <w:name w:val="汇政表文字"/>
    <w:basedOn w:val="3"/>
    <w:link w:val="63"/>
    <w:qFormat/>
    <w:uiPriority w:val="5"/>
    <w:pPr>
      <w:widowControl/>
      <w:pBdr>
        <w:between w:val="single" w:color="auto" w:sz="4" w:space="1"/>
      </w:pBdr>
      <w:spacing w:line="320" w:lineRule="exact"/>
      <w:ind w:firstLine="0" w:firstLineChars="0"/>
      <w:jc w:val="center"/>
    </w:pPr>
    <w:rPr>
      <w:rFonts w:cs="宋体"/>
      <w:bCs/>
      <w:color w:val="000000"/>
      <w:sz w:val="22"/>
      <w:szCs w:val="22"/>
    </w:rPr>
  </w:style>
  <w:style w:type="character" w:customStyle="1" w:styleId="63">
    <w:name w:val="汇政表文字 字符"/>
    <w:basedOn w:val="42"/>
    <w:link w:val="62"/>
    <w:qFormat/>
    <w:uiPriority w:val="5"/>
    <w:rPr>
      <w:rFonts w:ascii="Times New Roman" w:hAnsi="Times New Roman" w:eastAsia="仿宋_GB2312" w:cs="宋体"/>
      <w:bCs/>
      <w:color w:val="000000"/>
      <w:sz w:val="22"/>
      <w:szCs w:val="22"/>
      <w:lang w:val="zh-CN"/>
    </w:rPr>
  </w:style>
  <w:style w:type="character" w:customStyle="1" w:styleId="64">
    <w:name w:val="批注文字 字符"/>
    <w:basedOn w:val="24"/>
    <w:link w:val="10"/>
    <w:qFormat/>
    <w:uiPriority w:val="99"/>
  </w:style>
  <w:style w:type="character" w:customStyle="1" w:styleId="65">
    <w:name w:val="批注主题 字符"/>
    <w:basedOn w:val="64"/>
    <w:link w:val="21"/>
    <w:semiHidden/>
    <w:qFormat/>
    <w:uiPriority w:val="99"/>
    <w:rPr>
      <w:b/>
      <w:bCs/>
    </w:rPr>
  </w:style>
  <w:style w:type="character" w:customStyle="1" w:styleId="66">
    <w:name w:val="副标题 字符"/>
    <w:basedOn w:val="24"/>
    <w:link w:val="18"/>
    <w:qFormat/>
    <w:uiPriority w:val="0"/>
    <w:rPr>
      <w:rFonts w:ascii="Times New Roman" w:hAnsi="Times New Roman" w:eastAsia="仿宋_GB2312" w:cstheme="majorBidi"/>
      <w:bCs/>
      <w:kern w:val="28"/>
      <w:sz w:val="28"/>
      <w:szCs w:val="32"/>
    </w:rPr>
  </w:style>
  <w:style w:type="character" w:customStyle="1" w:styleId="67">
    <w:name w:val="尾注文本 字符"/>
    <w:basedOn w:val="24"/>
    <w:link w:val="13"/>
    <w:semiHidden/>
    <w:qFormat/>
    <w:uiPriority w:val="99"/>
  </w:style>
  <w:style w:type="character" w:customStyle="1" w:styleId="68">
    <w:name w:val="汇政表 字符"/>
    <w:link w:val="69"/>
    <w:qFormat/>
    <w:uiPriority w:val="0"/>
    <w:rPr>
      <w:rFonts w:ascii="Times New Roman" w:hAnsi="Times New Roman" w:eastAsia="仿宋_GB2312"/>
      <w:b/>
      <w:sz w:val="24"/>
      <w:szCs w:val="28"/>
    </w:rPr>
  </w:style>
  <w:style w:type="paragraph" w:customStyle="1" w:styleId="69">
    <w:name w:val="汇政表"/>
    <w:basedOn w:val="1"/>
    <w:link w:val="68"/>
    <w:qFormat/>
    <w:uiPriority w:val="0"/>
    <w:pPr>
      <w:spacing w:before="60" w:after="60"/>
      <w:jc w:val="center"/>
    </w:pPr>
    <w:rPr>
      <w:rFonts w:ascii="Times New Roman" w:hAnsi="Times New Roman" w:eastAsia="仿宋_GB2312"/>
      <w:b/>
      <w:sz w:val="24"/>
      <w:szCs w:val="28"/>
    </w:rPr>
  </w:style>
  <w:style w:type="character" w:customStyle="1" w:styleId="70">
    <w:name w:val="汇政标题3 Char"/>
    <w:qFormat/>
    <w:uiPriority w:val="0"/>
    <w:rPr>
      <w:rFonts w:ascii="黑体" w:hAnsi="黑体" w:eastAsia="黑体"/>
      <w:bCs/>
      <w:sz w:val="32"/>
      <w:szCs w:val="32"/>
    </w:rPr>
  </w:style>
  <w:style w:type="paragraph" w:customStyle="1" w:styleId="71">
    <w:name w:val="修订1"/>
    <w:hidden/>
    <w:semiHidden/>
    <w:qFormat/>
    <w:uiPriority w:val="99"/>
    <w:rPr>
      <w:rFonts w:asciiTheme="minorHAnsi" w:hAnsiTheme="minorHAnsi" w:eastAsiaTheme="minorEastAsia" w:cstheme="minorBidi"/>
      <w:kern w:val="2"/>
      <w:sz w:val="21"/>
      <w:szCs w:val="21"/>
      <w:lang w:val="en-US" w:eastAsia="zh-CN" w:bidi="ar-SA"/>
    </w:rPr>
  </w:style>
  <w:style w:type="paragraph" w:customStyle="1" w:styleId="72">
    <w:name w:val="修订2"/>
    <w:hidden/>
    <w:semiHidden/>
    <w:qFormat/>
    <w:uiPriority w:val="99"/>
    <w:rPr>
      <w:rFonts w:asciiTheme="minorHAnsi" w:hAnsiTheme="minorHAnsi" w:eastAsiaTheme="minorEastAsia" w:cstheme="minorBidi"/>
      <w:kern w:val="2"/>
      <w:sz w:val="21"/>
      <w:szCs w:val="21"/>
      <w:lang w:val="en-US" w:eastAsia="zh-CN" w:bidi="ar-SA"/>
    </w:rPr>
  </w:style>
  <w:style w:type="paragraph" w:customStyle="1" w:styleId="73">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4">
    <w:name w:val="font5"/>
    <w:basedOn w:val="1"/>
    <w:qFormat/>
    <w:uiPriority w:val="0"/>
    <w:pPr>
      <w:widowControl/>
      <w:spacing w:before="100" w:beforeAutospacing="1" w:after="100" w:afterAutospacing="1"/>
      <w:jc w:val="left"/>
    </w:pPr>
    <w:rPr>
      <w:rFonts w:ascii="Times New Roman" w:hAnsi="Times New Roman" w:eastAsia="宋体" w:cs="Times New Roman"/>
      <w:color w:val="000000"/>
      <w:kern w:val="0"/>
      <w:sz w:val="22"/>
      <w:szCs w:val="22"/>
    </w:rPr>
  </w:style>
  <w:style w:type="paragraph" w:customStyle="1" w:styleId="75">
    <w:name w:val="font6"/>
    <w:basedOn w:val="1"/>
    <w:qFormat/>
    <w:uiPriority w:val="0"/>
    <w:pPr>
      <w:widowControl/>
      <w:spacing w:before="100" w:beforeAutospacing="1" w:after="100" w:afterAutospacing="1"/>
      <w:jc w:val="left"/>
    </w:pPr>
    <w:rPr>
      <w:rFonts w:ascii="仿宋_GB2312" w:hAnsi="宋体" w:eastAsia="仿宋_GB2312" w:cs="宋体"/>
      <w:color w:val="000000"/>
      <w:kern w:val="0"/>
      <w:sz w:val="22"/>
      <w:szCs w:val="22"/>
    </w:rPr>
  </w:style>
  <w:style w:type="paragraph" w:customStyle="1" w:styleId="76">
    <w:name w:val="font7"/>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77">
    <w:name w:val="font8"/>
    <w:basedOn w:val="1"/>
    <w:qFormat/>
    <w:uiPriority w:val="0"/>
    <w:pPr>
      <w:widowControl/>
      <w:spacing w:before="100" w:beforeAutospacing="1" w:after="100" w:afterAutospacing="1"/>
      <w:jc w:val="left"/>
    </w:pPr>
    <w:rPr>
      <w:rFonts w:ascii="宋体" w:hAnsi="宋体" w:eastAsia="宋体" w:cs="宋体"/>
      <w:color w:val="000000"/>
      <w:kern w:val="0"/>
      <w:sz w:val="22"/>
      <w:szCs w:val="22"/>
    </w:rPr>
  </w:style>
  <w:style w:type="paragraph" w:customStyle="1" w:styleId="78">
    <w:name w:val="font9"/>
    <w:basedOn w:val="1"/>
    <w:qFormat/>
    <w:uiPriority w:val="0"/>
    <w:pPr>
      <w:widowControl/>
      <w:spacing w:before="100" w:beforeAutospacing="1" w:after="100" w:afterAutospacing="1"/>
      <w:jc w:val="left"/>
    </w:pPr>
    <w:rPr>
      <w:rFonts w:ascii="仿宋_GB2312" w:hAnsi="宋体" w:eastAsia="仿宋_GB2312" w:cs="宋体"/>
      <w:b/>
      <w:bCs/>
      <w:color w:val="000000"/>
      <w:kern w:val="0"/>
      <w:sz w:val="22"/>
      <w:szCs w:val="22"/>
    </w:rPr>
  </w:style>
  <w:style w:type="paragraph" w:customStyle="1" w:styleId="79">
    <w:name w:val="font10"/>
    <w:basedOn w:val="1"/>
    <w:qFormat/>
    <w:uiPriority w:val="0"/>
    <w:pPr>
      <w:widowControl/>
      <w:spacing w:before="100" w:beforeAutospacing="1" w:after="100" w:afterAutospacing="1"/>
      <w:jc w:val="left"/>
    </w:pPr>
    <w:rPr>
      <w:rFonts w:ascii="宋体" w:hAnsi="宋体" w:eastAsia="宋体" w:cs="宋体"/>
      <w:b/>
      <w:bCs/>
      <w:color w:val="000000"/>
      <w:kern w:val="0"/>
      <w:sz w:val="22"/>
      <w:szCs w:val="22"/>
    </w:rPr>
  </w:style>
  <w:style w:type="paragraph" w:customStyle="1" w:styleId="80">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81">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8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83">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b/>
      <w:bCs/>
      <w:kern w:val="0"/>
      <w:sz w:val="24"/>
      <w:szCs w:val="24"/>
    </w:rPr>
  </w:style>
  <w:style w:type="paragraph" w:customStyle="1" w:styleId="8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b/>
      <w:bCs/>
      <w:kern w:val="0"/>
      <w:sz w:val="24"/>
      <w:szCs w:val="24"/>
    </w:rPr>
  </w:style>
  <w:style w:type="paragraph" w:customStyle="1" w:styleId="8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8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0"/>
      <w:szCs w:val="20"/>
    </w:rPr>
  </w:style>
  <w:style w:type="paragraph" w:customStyle="1" w:styleId="87">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88">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89">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90">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b/>
      <w:bCs/>
      <w:kern w:val="0"/>
      <w:sz w:val="24"/>
      <w:szCs w:val="24"/>
    </w:rPr>
  </w:style>
  <w:style w:type="paragraph" w:customStyle="1" w:styleId="9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92">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0"/>
      <w:szCs w:val="20"/>
    </w:rPr>
  </w:style>
  <w:style w:type="paragraph" w:customStyle="1" w:styleId="93">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0"/>
      <w:szCs w:val="20"/>
    </w:rPr>
  </w:style>
  <w:style w:type="paragraph" w:customStyle="1" w:styleId="9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 w:val="24"/>
      <w:szCs w:val="24"/>
    </w:rPr>
  </w:style>
  <w:style w:type="paragraph" w:customStyle="1" w:styleId="9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96">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宋体" w:cs="Times New Roman"/>
      <w:kern w:val="0"/>
      <w:sz w:val="24"/>
      <w:szCs w:val="24"/>
    </w:rPr>
  </w:style>
  <w:style w:type="paragraph" w:customStyle="1" w:styleId="97">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eastAsia="宋体" w:cs="Times New Roman"/>
      <w:kern w:val="0"/>
      <w:sz w:val="24"/>
      <w:szCs w:val="24"/>
    </w:rPr>
  </w:style>
  <w:style w:type="paragraph" w:customStyle="1" w:styleId="98">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宋体" w:cs="Times New Roman"/>
      <w:kern w:val="0"/>
      <w:sz w:val="24"/>
      <w:szCs w:val="24"/>
    </w:rPr>
  </w:style>
  <w:style w:type="paragraph" w:customStyle="1" w:styleId="99">
    <w:name w:val="xl8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仿宋_GB2312" w:hAnsi="宋体" w:eastAsia="仿宋_GB2312" w:cs="宋体"/>
      <w:b/>
      <w:bCs/>
      <w:kern w:val="0"/>
      <w:sz w:val="24"/>
      <w:szCs w:val="24"/>
    </w:rPr>
  </w:style>
  <w:style w:type="paragraph" w:customStyle="1" w:styleId="100">
    <w:name w:val="xl87"/>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Times New Roman" w:hAnsi="Times New Roman" w:eastAsia="宋体" w:cs="Times New Roman"/>
      <w:b/>
      <w:bCs/>
      <w:kern w:val="0"/>
      <w:sz w:val="24"/>
      <w:szCs w:val="24"/>
    </w:rPr>
  </w:style>
  <w:style w:type="paragraph" w:customStyle="1" w:styleId="101">
    <w:name w:val="xl8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eastAsia="宋体" w:cs="Times New Roman"/>
      <w:b/>
      <w:bCs/>
      <w:kern w:val="0"/>
      <w:sz w:val="24"/>
      <w:szCs w:val="24"/>
    </w:rPr>
  </w:style>
  <w:style w:type="paragraph" w:customStyle="1" w:styleId="102">
    <w:name w:val="xl89"/>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Times New Roman" w:hAnsi="Times New Roman" w:eastAsia="宋体" w:cs="Times New Roman"/>
      <w:b/>
      <w:bCs/>
      <w:kern w:val="0"/>
      <w:sz w:val="24"/>
      <w:szCs w:val="24"/>
    </w:rPr>
  </w:style>
  <w:style w:type="paragraph" w:customStyle="1" w:styleId="103">
    <w:name w:val="xl90"/>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Times New Roman" w:hAnsi="Times New Roman" w:eastAsia="宋体" w:cs="Times New Roman"/>
      <w:b/>
      <w:bCs/>
      <w:kern w:val="0"/>
      <w:sz w:val="24"/>
      <w:szCs w:val="24"/>
    </w:rPr>
  </w:style>
  <w:style w:type="paragraph" w:customStyle="1" w:styleId="104">
    <w:name w:val="xl91"/>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eastAsia="宋体" w:cs="Times New Roman"/>
      <w:b/>
      <w:bCs/>
      <w:kern w:val="0"/>
      <w:sz w:val="24"/>
      <w:szCs w:val="24"/>
    </w:rPr>
  </w:style>
  <w:style w:type="paragraph" w:customStyle="1" w:styleId="10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10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107">
    <w:name w:val="闻政正文"/>
    <w:basedOn w:val="1"/>
    <w:link w:val="108"/>
    <w:qFormat/>
    <w:uiPriority w:val="0"/>
    <w:pPr>
      <w:spacing w:line="600" w:lineRule="exact"/>
      <w:ind w:firstLine="640" w:firstLineChars="200"/>
    </w:pPr>
    <w:rPr>
      <w:rFonts w:ascii="Times New Roman" w:hAnsi="Times New Roman" w:eastAsia="仿宋_GB2312" w:cs="Times New Roman"/>
      <w:kern w:val="0"/>
      <w:sz w:val="32"/>
      <w:szCs w:val="28"/>
      <w:lang w:val="zh-CN"/>
    </w:rPr>
  </w:style>
  <w:style w:type="character" w:customStyle="1" w:styleId="108">
    <w:name w:val="闻政正文 Char"/>
    <w:link w:val="107"/>
    <w:qFormat/>
    <w:uiPriority w:val="0"/>
    <w:rPr>
      <w:rFonts w:ascii="Times New Roman" w:hAnsi="Times New Roman" w:eastAsia="仿宋_GB2312" w:cs="Times New Roman"/>
      <w:sz w:val="32"/>
      <w:szCs w:val="28"/>
      <w:lang w:val="zh-CN"/>
    </w:rPr>
  </w:style>
  <w:style w:type="paragraph" w:customStyle="1" w:styleId="109">
    <w:name w:val="闻政图表名"/>
    <w:basedOn w:val="1"/>
    <w:link w:val="110"/>
    <w:qFormat/>
    <w:uiPriority w:val="4"/>
    <w:pPr>
      <w:spacing w:before="60" w:after="60"/>
      <w:jc w:val="center"/>
    </w:pPr>
    <w:rPr>
      <w:rFonts w:ascii="Times New Roman" w:hAnsi="Times New Roman" w:eastAsia="仿宋_GB2312" w:cs="Times New Roman"/>
      <w:b/>
      <w:kern w:val="0"/>
      <w:sz w:val="24"/>
      <w:szCs w:val="28"/>
    </w:rPr>
  </w:style>
  <w:style w:type="character" w:customStyle="1" w:styleId="110">
    <w:name w:val="闻政图表名 字符"/>
    <w:link w:val="109"/>
    <w:qFormat/>
    <w:uiPriority w:val="4"/>
    <w:rPr>
      <w:rFonts w:ascii="Times New Roman" w:hAnsi="Times New Roman" w:eastAsia="仿宋_GB2312" w:cs="Times New Roman"/>
      <w:b/>
      <w:sz w:val="24"/>
      <w:szCs w:val="28"/>
    </w:rPr>
  </w:style>
  <w:style w:type="paragraph" w:customStyle="1" w:styleId="111">
    <w:name w:val="闻政附件标题"/>
    <w:basedOn w:val="107"/>
    <w:qFormat/>
    <w:uiPriority w:val="5"/>
    <w:pPr>
      <w:spacing w:before="120" w:after="60" w:line="240" w:lineRule="auto"/>
      <w:ind w:firstLine="0" w:firstLineChars="0"/>
      <w:outlineLvl w:val="0"/>
    </w:pPr>
    <w:rPr>
      <w:rFonts w:eastAsia="黑体"/>
      <w:b/>
    </w:rPr>
  </w:style>
  <w:style w:type="paragraph" w:customStyle="1" w:styleId="112">
    <w:name w:val="闻政附件正文"/>
    <w:basedOn w:val="107"/>
    <w:qFormat/>
    <w:uiPriority w:val="99"/>
    <w:rPr>
      <w:sz w:val="24"/>
    </w:rPr>
  </w:style>
  <w:style w:type="paragraph" w:customStyle="1" w:styleId="113">
    <w:name w:val="闻政附件二级标题"/>
    <w:basedOn w:val="52"/>
    <w:qFormat/>
    <w:uiPriority w:val="8"/>
    <w:rPr>
      <w:rFonts w:ascii="宋体" w:hAnsi="宋体" w:eastAsia="宋体"/>
    </w:rPr>
  </w:style>
  <w:style w:type="paragraph" w:customStyle="1" w:styleId="114">
    <w:name w:val="闻政附件三级标题"/>
    <w:basedOn w:val="113"/>
    <w:qFormat/>
    <w:uiPriority w:val="8"/>
    <w:rPr>
      <w:rFonts w:ascii="Times New Roman" w:hAnsi="Times New Roman" w:eastAsia="仿宋_GB2312"/>
    </w:rPr>
  </w:style>
  <w:style w:type="paragraph" w:customStyle="1" w:styleId="115">
    <w:name w:val="闻政表文字"/>
    <w:basedOn w:val="107"/>
    <w:link w:val="116"/>
    <w:qFormat/>
    <w:uiPriority w:val="5"/>
    <w:pPr>
      <w:widowControl/>
      <w:pBdr>
        <w:between w:val="single" w:color="auto" w:sz="4" w:space="1"/>
      </w:pBdr>
      <w:spacing w:line="320" w:lineRule="exact"/>
      <w:ind w:firstLine="0" w:firstLineChars="0"/>
      <w:jc w:val="center"/>
    </w:pPr>
    <w:rPr>
      <w:rFonts w:cs="宋体"/>
      <w:bCs/>
      <w:color w:val="000000"/>
      <w:sz w:val="22"/>
    </w:rPr>
  </w:style>
  <w:style w:type="character" w:customStyle="1" w:styleId="116">
    <w:name w:val="闻政表文字 字符"/>
    <w:basedOn w:val="108"/>
    <w:link w:val="115"/>
    <w:qFormat/>
    <w:uiPriority w:val="5"/>
    <w:rPr>
      <w:rFonts w:ascii="Times New Roman" w:hAnsi="Times New Roman" w:eastAsia="仿宋_GB2312" w:cs="宋体"/>
      <w:bCs/>
      <w:color w:val="000000"/>
      <w:sz w:val="22"/>
      <w:szCs w:val="28"/>
      <w:lang w:val="zh-CN"/>
    </w:rPr>
  </w:style>
  <w:style w:type="character" w:customStyle="1" w:styleId="117">
    <w:name w:val="闻政表 Char"/>
    <w:link w:val="118"/>
    <w:qFormat/>
    <w:uiPriority w:val="0"/>
    <w:rPr>
      <w:rFonts w:ascii="Times New Roman" w:hAnsi="Times New Roman" w:eastAsia="仿宋_GB2312"/>
      <w:b/>
      <w:sz w:val="24"/>
      <w:szCs w:val="28"/>
    </w:rPr>
  </w:style>
  <w:style w:type="paragraph" w:customStyle="1" w:styleId="118">
    <w:name w:val="闻政表"/>
    <w:basedOn w:val="1"/>
    <w:link w:val="117"/>
    <w:qFormat/>
    <w:uiPriority w:val="0"/>
    <w:pPr>
      <w:spacing w:before="60" w:after="60"/>
      <w:jc w:val="center"/>
    </w:pPr>
    <w:rPr>
      <w:rFonts w:ascii="Times New Roman" w:hAnsi="Times New Roman" w:eastAsia="仿宋_GB2312"/>
      <w:b/>
      <w:kern w:val="0"/>
      <w:sz w:val="24"/>
      <w:szCs w:val="28"/>
    </w:rPr>
  </w:style>
  <w:style w:type="character" w:customStyle="1" w:styleId="119">
    <w:name w:val="Subtle Emphasis"/>
    <w:basedOn w:val="24"/>
    <w:qFormat/>
    <w:uiPriority w:val="19"/>
    <w:rPr>
      <w:i/>
      <w:iCs/>
      <w:color w:val="404040" w:themeColor="text1" w:themeTint="BF"/>
      <w14:textFill>
        <w14:solidFill>
          <w14:schemeClr w14:val="tx1">
            <w14:lumMod w14:val="75000"/>
            <w14:lumOff w14:val="25000"/>
          </w14:schemeClr>
        </w14:solidFill>
      </w14:textFill>
    </w:rPr>
  </w:style>
  <w:style w:type="character" w:customStyle="1" w:styleId="120">
    <w:name w:val="汇政正文 Char"/>
    <w:qFormat/>
    <w:uiPriority w:val="3"/>
    <w:rPr>
      <w:rFonts w:eastAsia="仿宋_GB2312"/>
      <w:sz w:val="32"/>
      <w:szCs w:val="32"/>
      <w:lang w:val="zh-CN"/>
    </w:rPr>
  </w:style>
  <w:style w:type="table" w:customStyle="1" w:styleId="12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2DBDA5-0493-4063-9F88-9D7E1451CFE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7518</Words>
  <Characters>8180</Characters>
  <Lines>1</Lines>
  <Paragraphs>1</Paragraphs>
  <TotalTime>3</TotalTime>
  <ScaleCrop>false</ScaleCrop>
  <LinksUpToDate>false</LinksUpToDate>
  <CharactersWithSpaces>8206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2021-01-25T06:26:00Z</dcterms:created>
  <dc:creator>ml z</dc:creator>
  <cp:lastModifiedBy>1</cp:lastModifiedBy>
  <cp:lastPrinted>2019-09-06T06:46:00Z</cp:lastPrinted>
  <dcterms:modified xsi:type="dcterms:W3CDTF">2024-08-19T09:51:06Z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320DF9409E4D46458051C9F27C42F735_13</vt:lpwstr>
  </property>
</Properties>
</file>