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FF02A">
      <w:pPr>
        <w:keepNext w:val="0"/>
        <w:keepLines w:val="0"/>
        <w:pageBreakBefore w:val="0"/>
        <w:widowControl w:val="0"/>
        <w:kinsoku/>
        <w:wordWrap/>
        <w:overflowPunct/>
        <w:topLinePunct w:val="0"/>
        <w:autoSpaceDE/>
        <w:autoSpaceDN/>
        <w:bidi w:val="0"/>
        <w:adjustRightInd/>
        <w:snapToGrid/>
        <w:spacing w:line="600" w:lineRule="exact"/>
        <w:ind w:firstLine="723" w:firstLineChars="200"/>
        <w:jc w:val="center"/>
        <w:textAlignment w:val="auto"/>
        <w:rPr>
          <w:rFonts w:hint="eastAsia" w:ascii="Times New Roman" w:hAnsi="Times New Roman" w:eastAsia="方正小标宋简体" w:cs="Times New Roman"/>
          <w:b/>
          <w:sz w:val="36"/>
          <w:szCs w:val="36"/>
        </w:rPr>
      </w:pPr>
      <w:bookmarkStart w:id="32" w:name="_GoBack"/>
      <w:bookmarkEnd w:id="32"/>
    </w:p>
    <w:p w14:paraId="6EB1008D">
      <w:pPr>
        <w:keepNext w:val="0"/>
        <w:keepLines w:val="0"/>
        <w:pageBreakBefore w:val="0"/>
        <w:widowControl w:val="0"/>
        <w:kinsoku/>
        <w:wordWrap/>
        <w:overflowPunct/>
        <w:topLinePunct w:val="0"/>
        <w:autoSpaceDE/>
        <w:autoSpaceDN/>
        <w:bidi w:val="0"/>
        <w:adjustRightInd/>
        <w:snapToGrid/>
        <w:spacing w:line="600" w:lineRule="exact"/>
        <w:ind w:firstLine="723" w:firstLineChars="200"/>
        <w:jc w:val="center"/>
        <w:textAlignment w:val="auto"/>
        <w:rPr>
          <w:rFonts w:hint="eastAsia" w:ascii="Times New Roman" w:hAnsi="Times New Roman" w:eastAsia="方正小标宋简体" w:cs="Times New Roman"/>
          <w:b/>
          <w:sz w:val="36"/>
          <w:szCs w:val="36"/>
        </w:rPr>
      </w:pPr>
      <w:r>
        <w:rPr>
          <w:rFonts w:hint="eastAsia" w:ascii="Times New Roman" w:hAnsi="Times New Roman" w:eastAsia="方正小标宋简体" w:cs="Times New Roman"/>
          <w:b/>
          <w:sz w:val="36"/>
          <w:szCs w:val="36"/>
        </w:rPr>
        <w:t>遂宁市科学技术协会</w:t>
      </w:r>
    </w:p>
    <w:p w14:paraId="29B1A169">
      <w:pPr>
        <w:keepNext w:val="0"/>
        <w:keepLines w:val="0"/>
        <w:pageBreakBefore w:val="0"/>
        <w:widowControl w:val="0"/>
        <w:kinsoku/>
        <w:wordWrap/>
        <w:overflowPunct/>
        <w:topLinePunct w:val="0"/>
        <w:autoSpaceDE/>
        <w:autoSpaceDN/>
        <w:bidi w:val="0"/>
        <w:adjustRightInd/>
        <w:snapToGrid/>
        <w:spacing w:line="600" w:lineRule="exact"/>
        <w:ind w:firstLine="723" w:firstLineChars="200"/>
        <w:jc w:val="center"/>
        <w:textAlignment w:val="auto"/>
        <w:rPr>
          <w:rFonts w:hint="eastAsia" w:ascii="Times New Roman" w:hAnsi="Times New Roman" w:eastAsia="方正小标宋简体" w:cs="Times New Roman"/>
          <w:b/>
          <w:sz w:val="36"/>
          <w:szCs w:val="36"/>
        </w:rPr>
      </w:pPr>
      <w:r>
        <w:rPr>
          <w:rFonts w:hint="eastAsia" w:ascii="Times New Roman" w:hAnsi="Times New Roman" w:eastAsia="方正小标宋简体" w:cs="Times New Roman"/>
          <w:b/>
          <w:sz w:val="36"/>
          <w:szCs w:val="36"/>
        </w:rPr>
        <w:t>201</w:t>
      </w:r>
      <w:r>
        <w:rPr>
          <w:rFonts w:hint="eastAsia" w:ascii="Times New Roman" w:hAnsi="Times New Roman" w:eastAsia="方正小标宋简体" w:cs="Times New Roman"/>
          <w:b/>
          <w:sz w:val="36"/>
          <w:szCs w:val="36"/>
          <w:lang w:val="en-US" w:eastAsia="zh-CN"/>
        </w:rPr>
        <w:t>7</w:t>
      </w:r>
      <w:r>
        <w:rPr>
          <w:rFonts w:hint="eastAsia" w:ascii="Times New Roman" w:hAnsi="Times New Roman" w:eastAsia="方正小标宋简体" w:cs="Times New Roman"/>
          <w:b/>
          <w:sz w:val="36"/>
          <w:szCs w:val="36"/>
        </w:rPr>
        <w:t>年部门整体支出绩效评价报告</w:t>
      </w:r>
    </w:p>
    <w:p w14:paraId="241AC3F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
          <w:sz w:val="32"/>
          <w:szCs w:val="32"/>
        </w:rPr>
      </w:pPr>
    </w:p>
    <w:p w14:paraId="05C134A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一、评价工作开展情况</w:t>
      </w:r>
    </w:p>
    <w:p w14:paraId="5B2164E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color w:val="000000"/>
          <w:sz w:val="32"/>
          <w:szCs w:val="32"/>
        </w:rPr>
        <w:t>根据《</w:t>
      </w:r>
      <w:r>
        <w:rPr>
          <w:rFonts w:hint="eastAsia" w:ascii="Times New Roman" w:hAnsi="Times New Roman" w:eastAsia="仿宋_GB2312" w:cs="仿宋_GB2312"/>
          <w:color w:val="000000"/>
          <w:sz w:val="32"/>
          <w:szCs w:val="32"/>
          <w:lang w:val="en-US" w:eastAsia="zh-CN"/>
        </w:rPr>
        <w:t>遂宁市财政局</w:t>
      </w:r>
      <w:r>
        <w:rPr>
          <w:rFonts w:hint="eastAsia" w:ascii="Times New Roman" w:hAnsi="Times New Roman" w:eastAsia="仿宋_GB2312" w:cs="仿宋_GB2312"/>
          <w:color w:val="000000"/>
          <w:sz w:val="32"/>
          <w:szCs w:val="32"/>
        </w:rPr>
        <w:t>关于开展 2018 年财政绩效评价工作的通知》（</w:t>
      </w:r>
      <w:r>
        <w:rPr>
          <w:rFonts w:hint="eastAsia" w:ascii="Times New Roman" w:hAnsi="Times New Roman" w:eastAsia="仿宋_GB2312" w:cs="仿宋_GB2312"/>
          <w:color w:val="000000"/>
          <w:sz w:val="32"/>
          <w:szCs w:val="32"/>
          <w:highlight w:val="none"/>
          <w:lang w:val="en-US" w:eastAsia="zh-CN"/>
        </w:rPr>
        <w:t>遂财绩</w:t>
      </w:r>
      <w:r>
        <w:rPr>
          <w:rFonts w:hint="eastAsia" w:ascii="Times New Roman" w:hAnsi="Times New Roman" w:eastAsia="仿宋_GB2312" w:cs="仿宋_GB2312"/>
          <w:color w:val="000000"/>
          <w:sz w:val="32"/>
          <w:szCs w:val="32"/>
        </w:rPr>
        <w:t>〔2018〕3 号），</w:t>
      </w:r>
      <w:r>
        <w:rPr>
          <w:rFonts w:hint="eastAsia" w:ascii="Times New Roman" w:hAnsi="Times New Roman" w:eastAsia="仿宋_GB2312" w:cs="仿宋_GB2312"/>
          <w:color w:val="000000"/>
          <w:sz w:val="32"/>
          <w:szCs w:val="32"/>
          <w:lang w:val="en-US" w:eastAsia="zh-CN"/>
        </w:rPr>
        <w:t>本次部门整体支出绩效评价</w:t>
      </w:r>
      <w:r>
        <w:rPr>
          <w:rFonts w:hint="eastAsia" w:ascii="Times New Roman" w:hAnsi="Times New Roman" w:eastAsia="仿宋_GB2312" w:cs="仿宋_GB2312"/>
          <w:color w:val="000000"/>
          <w:sz w:val="32"/>
          <w:szCs w:val="32"/>
        </w:rPr>
        <w:t>按</w:t>
      </w:r>
      <w:r>
        <w:rPr>
          <w:rFonts w:hint="eastAsia" w:ascii="Times New Roman" w:hAnsi="Times New Roman" w:eastAsia="仿宋_GB2312" w:cs="仿宋_GB2312"/>
          <w:sz w:val="32"/>
          <w:szCs w:val="32"/>
        </w:rPr>
        <w:t>照前期准备、自评、现场评价、报告撰写四个阶段，以现场评价为主、非现场评价为辅，组织实施部门整体支出绩效评价工作。通过查阅并收集部门预算编制、预算执行、综合管理、整体效益等资料，汇总整理后，结合部门绩效自评报告，进行定量和定性分析，形成评价结论，经过复核和交换意见，形成绩效评价报告。</w:t>
      </w:r>
    </w:p>
    <w:p w14:paraId="4D87D04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二、部门概况</w:t>
      </w:r>
    </w:p>
    <w:p w14:paraId="24785576">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（一）机构组成</w:t>
      </w:r>
    </w:p>
    <w:p w14:paraId="7F86A6E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 w:cs="仿宋"/>
          <w:sz w:val="32"/>
          <w:szCs w:val="32"/>
        </w:rPr>
      </w:pPr>
      <w:r>
        <w:rPr>
          <w:rFonts w:hint="eastAsia" w:ascii="Times New Roman" w:hAnsi="Times New Roman" w:eastAsia="仿宋_GB2312" w:cs="Times New Roman"/>
          <w:sz w:val="32"/>
          <w:szCs w:val="32"/>
        </w:rPr>
        <w:t>市科协系群团组织，参照国家公务员管理，有下属事业单位1个，该事业单位未独立核算。内设办公室、学会部、普及部等3个职能部室和科技服务咨询中心（下属事业单位）。</w:t>
      </w:r>
    </w:p>
    <w:p w14:paraId="2774FCF3">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楷体"/>
          <w:b/>
          <w:sz w:val="32"/>
          <w:szCs w:val="32"/>
        </w:rPr>
      </w:pPr>
      <w:r>
        <w:rPr>
          <w:rFonts w:hint="eastAsia" w:ascii="Times New Roman" w:hAnsi="Times New Roman" w:eastAsia="楷体_GB2312" w:cs="楷体_GB2312"/>
          <w:b/>
          <w:sz w:val="32"/>
          <w:szCs w:val="32"/>
        </w:rPr>
        <w:t>（二）机构职能</w:t>
      </w:r>
    </w:p>
    <w:p w14:paraId="0E92D61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中共遂宁市委、遂宁市人民政府《关于印发〈遂宁市人民政府机构改革方案〉和〈遂宁市人民政府机构改革方案的实施意见〉的通知》（遂委发〔2010〕11号）精神，设立遂宁市政府国有资产监督管理委员会（简称科学技术协会），为市政府工作部门。中共遂宁市国有资产监督管理委员会党委（简称市科学技术协会党委）履行市委规定的职责。</w:t>
      </w:r>
    </w:p>
    <w:p w14:paraId="3060146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组织学术活动，开展学术交流、活跃学术思想，促进学科发展和技术创新。</w:t>
      </w:r>
    </w:p>
    <w:p w14:paraId="0D80A7C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组织开展经常性、群众性的科普活动。弘扬科学精神。普及科学知识，传播科学思想和科学方法。捍卫科学尊严，积极开展与反科学的邪教组织的斗争。推广先进技术，开展青少年科学技术教育，实施“金桥工程”，提高全民族科学文化素质。</w:t>
      </w:r>
    </w:p>
    <w:p w14:paraId="718CE7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反映科技工作者的意见和要求，维护科技工作者的合法权益。为科技团体和科技工作者服务。</w:t>
      </w:r>
    </w:p>
    <w:p w14:paraId="451D795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表彰奖励优秀科技工作者和优秀学术论文、举荐人才，促进尊重知识、尊重人才的社会风气的形成。</w:t>
      </w:r>
    </w:p>
    <w:p w14:paraId="64CD5CD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开展科学论证、咨询服务。提出建议和意见，促进科技成果向现实生产力转化。接受委托承担项目评估、成果鉴定、专业技术职务资格评审等任务。</w:t>
      </w:r>
    </w:p>
    <w:p w14:paraId="46614E1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参与科技政策、计划、规划的制定，提出政策建议，推动决策的科学化、民主化。</w:t>
      </w:r>
    </w:p>
    <w:p w14:paraId="409FF5D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开展继续教育和技术培训工作，促进科技人才的成长和知识更新。</w:t>
      </w:r>
    </w:p>
    <w:p w14:paraId="438A083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对自然科学类的全市性学会、协会、研究会及企业科协进行管理，对县（区）科协和基层科协进行指导和协调。</w:t>
      </w:r>
    </w:p>
    <w:p w14:paraId="07D2F47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兴办符合市科协宗旨的社会公益性事业。</w:t>
      </w:r>
    </w:p>
    <w:p w14:paraId="31830F6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承办市委、市政府和上级科协交办的其他事项。</w:t>
      </w:r>
    </w:p>
    <w:p w14:paraId="69A44E32">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bCs/>
          <w:sz w:val="32"/>
          <w:szCs w:val="32"/>
        </w:rPr>
      </w:pPr>
      <w:r>
        <w:rPr>
          <w:rFonts w:hint="eastAsia" w:ascii="Times New Roman" w:hAnsi="Times New Roman" w:eastAsia="楷体_GB2312" w:cs="楷体_GB2312"/>
          <w:b/>
          <w:sz w:val="32"/>
          <w:szCs w:val="32"/>
        </w:rPr>
        <w:t>（三）人员概况</w:t>
      </w:r>
    </w:p>
    <w:p w14:paraId="4E8BEBA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截止2017年底，市科协在职人员12人，其中公务员8人（其中1人于2017年12月刑拘,于2018年1月双开），事业全额拨款人员3人、经费自理人员1人，退休人员10人。</w:t>
      </w:r>
    </w:p>
    <w:p w14:paraId="46AA08E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sz w:val="32"/>
          <w:szCs w:val="32"/>
          <w:highlight w:val="yellow"/>
        </w:rPr>
      </w:pPr>
      <w:r>
        <w:rPr>
          <w:rFonts w:ascii="Times New Roman" w:hAnsi="Times New Roman" w:eastAsia="黑体"/>
          <w:sz w:val="32"/>
          <w:szCs w:val="32"/>
          <w:highlight w:val="none"/>
        </w:rPr>
        <w:t>三、</w:t>
      </w:r>
      <w:r>
        <w:rPr>
          <w:rFonts w:hint="eastAsia" w:ascii="Times New Roman" w:hAnsi="Times New Roman" w:eastAsia="仿宋" w:cs="仿宋"/>
          <w:b w:val="0"/>
          <w:bCs w:val="0"/>
          <w:sz w:val="32"/>
          <w:szCs w:val="32"/>
          <w:highlight w:val="none"/>
        </w:rPr>
        <w:t>2017</w:t>
      </w:r>
      <w:r>
        <w:rPr>
          <w:rFonts w:ascii="Times New Roman" w:hAnsi="Times New Roman" w:eastAsia="黑体"/>
          <w:sz w:val="32"/>
          <w:szCs w:val="32"/>
          <w:highlight w:val="none"/>
        </w:rPr>
        <w:t>年部门收支情况</w:t>
      </w:r>
    </w:p>
    <w:p w14:paraId="2DE275A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2017年度，科协财政资金收入465.48万元，上年财政拨款结转结余6.06万元，收入合计471.53万元。</w:t>
      </w:r>
    </w:p>
    <w:p w14:paraId="764358E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rPr>
        <w:t>2017年度，</w:t>
      </w:r>
      <w:r>
        <w:rPr>
          <w:rFonts w:hint="eastAsia" w:ascii="Times New Roman" w:hAnsi="Times New Roman" w:eastAsia="仿宋_GB2312" w:cs="Times New Roman"/>
          <w:sz w:val="32"/>
          <w:szCs w:val="32"/>
          <w:lang w:val="en-US" w:eastAsia="zh-CN"/>
        </w:rPr>
        <w:t>科协</w:t>
      </w:r>
      <w:r>
        <w:rPr>
          <w:rFonts w:hint="eastAsia" w:ascii="Times New Roman" w:hAnsi="Times New Roman" w:eastAsia="仿宋_GB2312" w:cs="Times New Roman"/>
          <w:sz w:val="32"/>
          <w:szCs w:val="32"/>
        </w:rPr>
        <w:t>财政资金支出447</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8</w:t>
      </w:r>
      <w:r>
        <w:rPr>
          <w:rFonts w:hint="eastAsia" w:ascii="Times New Roman" w:hAnsi="Times New Roman" w:eastAsia="仿宋_GB2312" w:cs="Times New Roman"/>
          <w:sz w:val="32"/>
          <w:szCs w:val="32"/>
        </w:rPr>
        <w:t>万元，基本支出211</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0</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万元，项目支出236</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万元。其中：工资福利支出173.66万元、商品和服务支出259</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万元、对个人和家庭补助支出12.08万元、其他资本性支出2.15万元，资金结转结余26.55万元。</w:t>
      </w:r>
    </w:p>
    <w:p w14:paraId="5E54755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四、部门整体支出管理情况</w:t>
      </w:r>
    </w:p>
    <w:p w14:paraId="321AC51B">
      <w:pPr>
        <w:keepNext w:val="0"/>
        <w:keepLines w:val="0"/>
        <w:pageBreakBefore w:val="0"/>
        <w:widowControl w:val="0"/>
        <w:tabs>
          <w:tab w:val="left" w:pos="4755"/>
        </w:tabs>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（一）预决算编制情况</w:t>
      </w:r>
    </w:p>
    <w:p w14:paraId="4440691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1.报送时效</w:t>
      </w:r>
    </w:p>
    <w:p w14:paraId="3086AA3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科学技术协会按时保质向财政局编制报送了2017年度决算、预算的基础库、项目库的数据及相关资料。</w:t>
      </w:r>
    </w:p>
    <w:p w14:paraId="78624B7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2.编制质量</w:t>
      </w:r>
    </w:p>
    <w:p w14:paraId="5573B3B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2017年，科学技术协会预算编制严格按照</w:t>
      </w:r>
      <w:r>
        <w:rPr>
          <w:rFonts w:hint="eastAsia" w:ascii="Times New Roman" w:hAnsi="Times New Roman" w:eastAsia="仿宋_GB2312" w:cs="Times New Roman"/>
          <w:sz w:val="32"/>
          <w:szCs w:val="32"/>
          <w:lang w:eastAsia="zh-CN"/>
        </w:rPr>
        <w:t>预算编制的</w:t>
      </w:r>
      <w:r>
        <w:rPr>
          <w:rFonts w:hint="eastAsia" w:ascii="Times New Roman" w:hAnsi="Times New Roman" w:eastAsia="仿宋_GB2312" w:cs="Times New Roman"/>
          <w:sz w:val="32"/>
          <w:szCs w:val="32"/>
        </w:rPr>
        <w:t xml:space="preserve">要求，坚持依法理财、量入为出、收支平衡、统筹兼顾的原则，由财务科牵头，各科室密切配合，认真、细致、完整地做好了2017年度基本支出、项目支出、“三公”经费、政府采购、政府向社会力量购买服务等各项预算的编审工作。2017年科学技术协会预算资金未发生中期评估调整取消资金，科学技术协会本级预算编制准确率93%。 </w:t>
      </w:r>
    </w:p>
    <w:p w14:paraId="29D4A41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3.绩效目标</w:t>
      </w:r>
    </w:p>
    <w:p w14:paraId="38D77E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2017年，科学技术协会部门整体绩效目标编制完整、合理，并对各委员会及其下属单位细化下达了年度具体绩效管理目标。对各项项目资金进行了细化。</w:t>
      </w:r>
    </w:p>
    <w:p w14:paraId="64D372F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（1）部门整体绩效目标</w:t>
      </w:r>
    </w:p>
    <w:p w14:paraId="1AEFF1C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根据遂宁市目标绩效管理委员会下达《关于2017年度市直部门绩效管理任务》的通知，市科协的目标内容为：</w:t>
      </w:r>
    </w:p>
    <w:p w14:paraId="18396FB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①</w:t>
      </w:r>
      <w:r>
        <w:rPr>
          <w:rFonts w:hint="eastAsia" w:ascii="Times New Roman" w:hAnsi="Times New Roman" w:eastAsia="仿宋_GB2312" w:cs="Times New Roman"/>
          <w:sz w:val="32"/>
          <w:szCs w:val="32"/>
        </w:rPr>
        <w:t>全力开展“精准扶贫”工作。围绕贫困村主导产业和特色产业实际，指导新建农技协了个以上,新建科普示范基地6个、科普惠民服务站12个、科普宣传栏200个，推进涉农学会与基层农技协结对帮扶。</w:t>
      </w:r>
    </w:p>
    <w:p w14:paraId="6EA111B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②</w:t>
      </w:r>
      <w:r>
        <w:rPr>
          <w:rFonts w:hint="eastAsia" w:ascii="Times New Roman" w:hAnsi="Times New Roman" w:eastAsia="仿宋_GB2312" w:cs="Times New Roman"/>
          <w:sz w:val="32"/>
          <w:szCs w:val="32"/>
        </w:rPr>
        <w:t>全力实施“基层科普行动计划”。深化“银会合作”，力争贷款额度达1亿元以上。加强农村乡土人才建设;建立和完善乡土人才专家库。</w:t>
      </w:r>
    </w:p>
    <w:p w14:paraId="294C2C1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③</w:t>
      </w:r>
      <w:r>
        <w:rPr>
          <w:rFonts w:hint="eastAsia" w:ascii="Times New Roman" w:hAnsi="Times New Roman" w:eastAsia="仿宋_GB2312" w:cs="Times New Roman"/>
          <w:sz w:val="32"/>
          <w:szCs w:val="32"/>
        </w:rPr>
        <w:t>全力实施公民科学素质提升工程。加强科普基础设施建设，不断丰富科普载体，组织发动相关单位深入开展“科技之春”、“送科技下乡”、“全国科普日”等科普宣传活动。</w:t>
      </w:r>
    </w:p>
    <w:p w14:paraId="54E7B42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④</w:t>
      </w:r>
      <w:r>
        <w:rPr>
          <w:rFonts w:hint="eastAsia" w:ascii="Times New Roman" w:hAnsi="Times New Roman" w:eastAsia="仿宋_GB2312" w:cs="Times New Roman"/>
          <w:sz w:val="32"/>
          <w:szCs w:val="32"/>
        </w:rPr>
        <w:t>全力推进科普信息化建设:大力提升科普传播信息化、科普队伍多元化、科普动员社会化程度，切实增强科普公共服务能力。</w:t>
      </w:r>
    </w:p>
    <w:p w14:paraId="2468330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⑤</w:t>
      </w:r>
      <w:r>
        <w:rPr>
          <w:rFonts w:hint="eastAsia" w:ascii="Times New Roman" w:hAnsi="Times New Roman" w:eastAsia="仿宋_GB2312" w:cs="Times New Roman"/>
          <w:sz w:val="32"/>
          <w:szCs w:val="32"/>
        </w:rPr>
        <w:t>全力推动青少年科技教育。组织开展遂宁市第30届青少年科技创新大赛，深入开展青少年高校科学营、青少年科学调查体验、科学影像节等活动，着力提升青少年创新创造能力。</w:t>
      </w:r>
    </w:p>
    <w:p w14:paraId="7B10E5A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⑥</w:t>
      </w:r>
      <w:r>
        <w:rPr>
          <w:rFonts w:hint="eastAsia" w:ascii="Times New Roman" w:hAnsi="Times New Roman" w:eastAsia="仿宋_GB2312" w:cs="Times New Roman"/>
          <w:sz w:val="32"/>
          <w:szCs w:val="32"/>
        </w:rPr>
        <w:t>全力实施科技创新助推行动。积极搭建创新创业工作平台;组织开展院士专家工作站建设、“金桥工程”、“讲理想、比贡献、比创新”、会会合作等科技创新服务活动，激发科技工作者创新热情和创造能力。实施市级“金桥工程”项目8项，报省立项6项。</w:t>
      </w:r>
    </w:p>
    <w:p w14:paraId="2802D2A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⑦</w:t>
      </w:r>
      <w:r>
        <w:rPr>
          <w:rFonts w:hint="eastAsia" w:ascii="Times New Roman" w:hAnsi="Times New Roman" w:eastAsia="仿宋_GB2312" w:cs="Times New Roman"/>
          <w:sz w:val="32"/>
          <w:szCs w:val="32"/>
        </w:rPr>
        <w:t>全力推进学会创新和服务能力提升。组织实施以学术交流、科技创新服务、科普活动等为主要内容的“学会创新和服务能力提升计划”项目6项。支持学会参与社会治理，开展学会有序承接政府职能转移试点。</w:t>
      </w:r>
    </w:p>
    <w:p w14:paraId="681A6D1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⑧</w:t>
      </w:r>
      <w:r>
        <w:rPr>
          <w:rFonts w:hint="eastAsia" w:ascii="Times New Roman" w:hAnsi="Times New Roman" w:eastAsia="仿宋_GB2312" w:cs="Times New Roman"/>
          <w:sz w:val="32"/>
          <w:szCs w:val="32"/>
        </w:rPr>
        <w:t>围绕我市经济社会发展，组织学术论文征集评选活动，积极向省级学术活动推荐优秀学术论文。</w:t>
      </w:r>
    </w:p>
    <w:p w14:paraId="457E51B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⑨</w:t>
      </w:r>
      <w:r>
        <w:rPr>
          <w:rFonts w:hint="eastAsia" w:ascii="Times New Roman" w:hAnsi="Times New Roman" w:eastAsia="仿宋_GB2312" w:cs="Times New Roman"/>
          <w:sz w:val="32"/>
          <w:szCs w:val="32"/>
        </w:rPr>
        <w:t>全力加强科协基层组织建设。全市新建学(协)会组织2个以上。抓好“建家”活动，组织开展首届科技工作者日活动，热情为科技人员服务，积极举荐优秀科技人才，支持和鼓励科技人员开展科技创新活动。</w:t>
      </w:r>
    </w:p>
    <w:p w14:paraId="6A6165E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⑩</w:t>
      </w:r>
      <w:r>
        <w:rPr>
          <w:rFonts w:hint="eastAsia" w:ascii="Times New Roman" w:hAnsi="Times New Roman" w:eastAsia="仿宋_GB2312" w:cs="Times New Roman"/>
          <w:sz w:val="32"/>
          <w:szCs w:val="32"/>
        </w:rPr>
        <w:t>严格执行机构编制政策和纪律完成档案管理规范化工作。完善单位内部绩效管理办法，结合机关事业单位工作人员平时考核系统逗硬考核。</w:t>
      </w:r>
    </w:p>
    <w:p w14:paraId="1743F6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）重点项目绩效目标</w:t>
      </w:r>
    </w:p>
    <w:p w14:paraId="29EFB0D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根据四川省科协、省财政厅《关于提前下达2017年省级科普经费和基层科普行动计划专项资金预算额度的通知（川财教〔201</w:t>
      </w: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rPr>
        <w:t>〕219号）》、遂宁市科学技术协会遂宁市财政局《关于推荐2017年省级“基层科普行动计划”先进单位和个人的报送函》，市财政局向省财政厅保送2017年省级“基层科普行动计划”项目名额，市科学技术协会名额为4个（射洪县科协1个、蓬溪县科协1个、船山区科协1个、安居县科协1个）；</w:t>
      </w:r>
    </w:p>
    <w:p w14:paraId="089849D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根据四川省财政厅、四川省科学技术协会《关于下达2017年国家基层科普行动计划专项资金预算的通知》（川财教〔201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〕96号）、遂宁市财政局《关于下达2017年国家基层科普行动计划专项资金预算的通知》（遂财教〔201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〕54号），市财政局下达2017年基层科普行动计划专项资金预算36万元（船山区科协18万元），上述资金未到市科协，由市财政局直拨；</w:t>
      </w:r>
    </w:p>
    <w:p w14:paraId="2758C8F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遂宁市财政局《关于下达2017年市级科学技术普及与推广专项资金预算的通知》，市财政局下达贵协会2017年市级科学技术普及与推广专项资金80万元，其中，组织开展科普活动月、全国科普日、青少年科技创新大赛、乡土人才创新创业大赛、与新闻媒体合作开展科普宣传等项目资金为55.40万元；全民科学素质调查项目资金为9.60万元；企业科协创新和服务能力提升项目资金为15万元；</w:t>
      </w:r>
    </w:p>
    <w:p w14:paraId="2CC7844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根据遂宁市财政局《关于拨付创新驱动助力工程工作经费的通知》（遂财教〔201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〕73号），市财政局拨付贵单位创新驱动助力工程工作经费50万元。</w:t>
      </w:r>
    </w:p>
    <w:p w14:paraId="4D130DD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转移支付提前下达不涉及</w:t>
      </w:r>
      <w:r>
        <w:rPr>
          <w:rFonts w:hint="eastAsia" w:ascii="Times New Roman" w:hAnsi="Times New Roman" w:eastAsia="仿宋_GB2312" w:cs="Times New Roman"/>
          <w:sz w:val="32"/>
          <w:szCs w:val="32"/>
          <w:lang w:eastAsia="zh-CN"/>
        </w:rPr>
        <w:t>。</w:t>
      </w:r>
    </w:p>
    <w:p w14:paraId="1409201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专项转移支付分地区分项目编制不涉及</w:t>
      </w:r>
      <w:r>
        <w:rPr>
          <w:rFonts w:hint="eastAsia" w:ascii="Times New Roman" w:hAnsi="Times New Roman" w:eastAsia="仿宋_GB2312" w:cs="Times New Roman"/>
          <w:sz w:val="32"/>
          <w:szCs w:val="32"/>
          <w:lang w:eastAsia="zh-CN"/>
        </w:rPr>
        <w:t>。</w:t>
      </w:r>
    </w:p>
    <w:p w14:paraId="309EAB74">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（二）执行管理情况</w:t>
      </w:r>
    </w:p>
    <w:p w14:paraId="4E57578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科学技术协会按要求严格的进行了预算执行管理，根据工作需要，及时安排使用各项资金。全年预算总额471.53万元，实际列支额444.99万元，无资金占用、挪用、贪污现象。</w:t>
      </w:r>
    </w:p>
    <w:p w14:paraId="1DE9905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 xml:space="preserve">执行进度 </w:t>
      </w:r>
    </w:p>
    <w:p w14:paraId="68D3F4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（1）市级财力专项预算分配时限及时。</w:t>
      </w:r>
    </w:p>
    <w:p w14:paraId="559CF2B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（2）中省专项资金</w:t>
      </w:r>
    </w:p>
    <w:p w14:paraId="4142DBC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科学技术协会根据四川省财政厅 四川省科学技术协会《关于提前下达2017年省级科普经费和基层科普行动计划专项资金预算额度的通知》（川财教〔201</w:t>
      </w: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rPr>
        <w:t>〕219号）、遂宁市科学技术协会 遂宁市财政局《关于2017年省级科普经费安排情况的报告》（遂科协〔201</w:t>
      </w: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rPr>
        <w:t>〕37号）文件，四川省财政厅下达遂宁市2017年省级科普经费预算额度75万元，拨付市科协2016年银会合作贷款项目贴息资金20万元；</w:t>
      </w:r>
    </w:p>
    <w:p w14:paraId="453E756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根据四川省财政厅、四川省科学技术协会《关于下达2017年国家基层科普行动计划专项资金预算的通知》（川财教〔201</w:t>
      </w: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rPr>
        <w:t>〕96号）、遂宁市科学技术协会 遂宁市财政局《关于2017年国家基层科普行动计划专项资金安排的情况报告》（遂科协〔201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〕18号），省财政厅下达遂宁市2017年国家基层科普行动计划专项资金预算额度120万元，资金未经市科协账户直接下拨至各区县。</w:t>
      </w:r>
    </w:p>
    <w:p w14:paraId="5959758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（3）部门预算执行进度</w:t>
      </w:r>
    </w:p>
    <w:p w14:paraId="7F88A75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rPr>
        <w:t>当年收入预算数173.78万元，上年结余结转14.70万元，收入决算数499.98万元。当年支出预算数499.98万元，支出决算数 447.28 万元。财政拨款总收入485.28元，包括：本年财政拨款收入485.28万元，其他收入:0万元。财政拨款总支出447.28 万元，包括：基本支出211.02 万元，项目支出 236.25万元。</w:t>
      </w:r>
      <w:r>
        <w:rPr>
          <w:rFonts w:hint="eastAsia" w:ascii="Times New Roman" w:hAnsi="Times New Roman" w:eastAsia="仿宋_GB2312" w:cs="Times New Roman"/>
          <w:sz w:val="32"/>
          <w:szCs w:val="32"/>
          <w:lang w:val="en-US" w:eastAsia="zh-CN"/>
        </w:rPr>
        <w:t>根据评分体系表，市科协的预算执行进度为89.33%。</w:t>
      </w:r>
    </w:p>
    <w:p w14:paraId="14375C5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2.预算调整</w:t>
      </w:r>
    </w:p>
    <w:p w14:paraId="7BDF9FC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2017年度，科学技术协会未发生中期评估取消资金、无预算结余注销资金。</w:t>
      </w:r>
    </w:p>
    <w:p w14:paraId="58F6473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3.节能降耗</w:t>
      </w:r>
    </w:p>
    <w:p w14:paraId="44718BF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科学技术协会水电费统一由物管中心管理，未进行水电费的分摊，不涉及节能降耗。</w:t>
      </w:r>
    </w:p>
    <w:p w14:paraId="3C3FF2B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4.“三公”经费</w:t>
      </w:r>
    </w:p>
    <w:p w14:paraId="42A020C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预算金额19.08万元，实际使用3.16万元，节约15.92万元。其中：公务接待费预算12.68万元，实际使用3.16万元；公务用车预算6.4万元，实际使用0万元；</w:t>
      </w:r>
    </w:p>
    <w:p w14:paraId="4DED12A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根据遂宁市财政局《关于追加公务接待经费的通知》，市财政局追加市科协公务接待经费9万元。</w:t>
      </w:r>
    </w:p>
    <w:p w14:paraId="34C5ACF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（三）综合管理情况</w:t>
      </w:r>
    </w:p>
    <w:p w14:paraId="56CE942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1.非税收入情况</w:t>
      </w:r>
    </w:p>
    <w:p w14:paraId="51225A7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科学技术协会的非税收入是非经营性国有资产收入（行政单位国有资产处置收入），金额为39.14万元，</w:t>
      </w:r>
      <w:r>
        <w:rPr>
          <w:rFonts w:hint="eastAsia" w:ascii="Times New Roman" w:hAnsi="Times New Roman" w:eastAsia="仿宋_GB2312" w:cs="Times New Roman"/>
          <w:sz w:val="32"/>
          <w:szCs w:val="32"/>
          <w:lang w:eastAsia="zh-CN"/>
        </w:rPr>
        <w:t>不通过本单位账户，</w:t>
      </w:r>
      <w:r>
        <w:rPr>
          <w:rFonts w:hint="eastAsia" w:ascii="Times New Roman" w:hAnsi="Times New Roman" w:eastAsia="仿宋_GB2312" w:cs="Times New Roman"/>
          <w:sz w:val="32"/>
          <w:szCs w:val="32"/>
        </w:rPr>
        <w:t>直接上缴国库。</w:t>
      </w:r>
    </w:p>
    <w:p w14:paraId="1BBB7F6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2.政府采购实施情况</w:t>
      </w:r>
    </w:p>
    <w:p w14:paraId="6AC0CEE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（1）政府采购实施计划编制</w:t>
      </w:r>
    </w:p>
    <w:p w14:paraId="120BBEB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政府采购预算3.10万元，年初编制预算时作了政府采购计划。</w:t>
      </w:r>
    </w:p>
    <w:p w14:paraId="07CA67A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（2）政府采购实施计划执行</w:t>
      </w:r>
    </w:p>
    <w:p w14:paraId="2BDB634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政府采购预算3.10万元，使用2.15万元。</w:t>
      </w:r>
    </w:p>
    <w:p w14:paraId="4606ED8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其</w:t>
      </w:r>
      <w:r>
        <w:rPr>
          <w:rFonts w:hint="eastAsia" w:ascii="Times New Roman" w:hAnsi="Times New Roman" w:eastAsia="仿宋_GB2312" w:cs="Times New Roman"/>
          <w:sz w:val="32"/>
          <w:szCs w:val="32"/>
        </w:rPr>
        <w:t>政府采购实施计划与实际实施执行一致。</w:t>
      </w:r>
    </w:p>
    <w:p w14:paraId="61BECE7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3.资产管理</w:t>
      </w:r>
    </w:p>
    <w:p w14:paraId="4E87A0D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（1）资产管理信息系统建设情况</w:t>
      </w:r>
    </w:p>
    <w:p w14:paraId="42E45C6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截止2017年12月31日的资产纳入国有资产管理系统。</w:t>
      </w:r>
    </w:p>
    <w:p w14:paraId="302435B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（2）行政事业单位资产清查开展情况</w:t>
      </w:r>
    </w:p>
    <w:p w14:paraId="47C5938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已经按时完成资产清查工作，并已经录入系统。</w:t>
      </w:r>
    </w:p>
    <w:p w14:paraId="3465CAD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（3）行政事业单位资产报表上报情况</w:t>
      </w:r>
    </w:p>
    <w:p w14:paraId="445E64D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资产清查报表已经上报，所有信息已经录入资产管理系统，设有专人负责资产管理。其中固定资产账面数21.71万元，录入资产管理系统21.71万元。</w:t>
      </w:r>
    </w:p>
    <w:p w14:paraId="1DD85FF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4.内控管理制度</w:t>
      </w:r>
    </w:p>
    <w:p w14:paraId="3182CD1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科学技术协会内部控制制度包括《财务管理制度》、《物资采购管理制度》、《会议管理制度》、《经费支出管理办法》等，明确了各岗位的职能职责。经核实，内控制度健全。</w:t>
      </w:r>
    </w:p>
    <w:p w14:paraId="73285E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5.信息公开</w:t>
      </w:r>
    </w:p>
    <w:p w14:paraId="00B0516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（1）预算公开</w:t>
      </w:r>
    </w:p>
    <w:p w14:paraId="653C776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2017年度预算公开时间2017年4月1日。</w:t>
      </w:r>
    </w:p>
    <w:p w14:paraId="1006984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（2）决算公开</w:t>
      </w:r>
    </w:p>
    <w:p w14:paraId="4E99BC9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2017年度决算公开时间目前暂未出相关文件决定，2017年度决算未到公开时间。</w:t>
      </w:r>
    </w:p>
    <w:p w14:paraId="62253F7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（3）绩效信息公开</w:t>
      </w:r>
    </w:p>
    <w:p w14:paraId="79A6986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2017年部门整体支出绩效自评报告未公开。</w:t>
      </w:r>
    </w:p>
    <w:p w14:paraId="37B7B14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6.绩效评价</w:t>
      </w:r>
    </w:p>
    <w:p w14:paraId="5D593DE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科学技术协会实施绩效评价全覆盖，并编写了《遂宁市政府</w:t>
      </w:r>
      <w:r>
        <w:rPr>
          <w:rFonts w:hint="eastAsia" w:ascii="Times New Roman" w:hAnsi="Times New Roman" w:eastAsia="仿宋_GB2312" w:cs="Times New Roman"/>
          <w:sz w:val="32"/>
          <w:szCs w:val="32"/>
          <w:lang w:eastAsia="zh-CN"/>
        </w:rPr>
        <w:t>科学技术协会</w:t>
      </w:r>
      <w:r>
        <w:rPr>
          <w:rFonts w:hint="eastAsia" w:ascii="Times New Roman" w:hAnsi="Times New Roman" w:eastAsia="仿宋_GB2312" w:cs="Times New Roman"/>
          <w:sz w:val="32"/>
          <w:szCs w:val="32"/>
        </w:rPr>
        <w:t>关于201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年部门整体支出绩效评价报告》，且按要求向财政部门报告自评报告，报告内容完整、细化、客观、真实。在自评过程中科学技术协会暂未发现需整改的问题。</w:t>
      </w:r>
    </w:p>
    <w:p w14:paraId="763DE7D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7.依法接受财政监督</w:t>
      </w:r>
    </w:p>
    <w:p w14:paraId="7A3E56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按照财政、监察、审计等相关部门工作要求，科学技术协会分别多次认真细致、严肃逗硬开展了切实解决乱发钱物问题、贯彻执行中央八项规定严肃财经纪律和“小金库”专项治理、公务接待管理、使用公款赠送红包礼金、滥发奖金工资补贴问题专项整治、贯彻落实中央八项规定和省委省政府十项规定等自查自纠工作，并按时报送自查工作报告和相关报表或材料。</w:t>
      </w:r>
    </w:p>
    <w:p w14:paraId="0F84D82A">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（四）整体绩效情况</w:t>
      </w:r>
    </w:p>
    <w:p w14:paraId="6359121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1、重点项目绩效评价结果</w:t>
      </w:r>
    </w:p>
    <w:p w14:paraId="1CBBFFC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截止2017年12月31日，项目已基本完成。</w:t>
      </w:r>
    </w:p>
    <w:p w14:paraId="7996F4C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部门职能完成情况</w:t>
      </w:r>
    </w:p>
    <w:p w14:paraId="7A5D156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根据《2017年工作总结》，遂宁市科学技术协会的工作完成情况为：</w:t>
      </w:r>
    </w:p>
    <w:p w14:paraId="57F4BF7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院士（专家）工作站建设进入新阶段。市委、市政府主要领导在全市人才工作大会上为我市首批7个市级工作站授牌；英创力电子成功获批第六批省级院士专家工作站；组织开展第二批市级站建设，6家单位成功通过专家评审。</w:t>
      </w:r>
    </w:p>
    <w:p w14:paraId="28DA8C8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技信息服务企业创新工作取得新成效。全市30多家企业通过科技信息数据库服务平台查询科技信息，17家企业接受后期跟踪指导服务；组织“专家进企业”，绵阳工研院李勇仲等55名专家先后深入华泰电气等48家企业，帮助解决技术难题12项，提出合理化技术建议96条。</w:t>
      </w:r>
    </w:p>
    <w:p w14:paraId="1CDAC36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技信息“需求库”和“供给库”建设探索新路。将“两库”建设纳入企业创新服务平台政府购买服务内容，整合科协系统和明川科技创新服务中心技术、人才以及市场资源。先后深入57家企业，收集企业技术需求信息79项，分门别类提交10多所高等院校和科研机构，得到了中国石油大学等高校专家合作回复。</w:t>
      </w:r>
    </w:p>
    <w:p w14:paraId="3B6B2EF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科技工作者创新争先行动激发创新热情。通过市科协第七次代表大会，向全市发出了开展科技工作者创新争先行动的倡议；举办全国首个“科技工作者日”遂宁主会场活动，组织了科技工作者座谈会，展示了科技工作者创新成果，对科技创新工作优秀团队和个人进行了表彰和慰问。组织举办了全市科技工作者代表学习宣传贯彻党的十九大精神座谈会，为开创科技新时代汇聚力量。</w:t>
      </w:r>
    </w:p>
    <w:p w14:paraId="17A2408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夯实基层组织基础释放创新活力。积极推进企业科协和学（协）会建设，全市新增企业科协5个，新成立学会2家。依托企业科协实施“金桥工程”项目12项，有效推动科技成果转化；组织在全市20余家企业开展“讲理想、比创新、比贡献”竞赛活动，共参赛立项300余项、提出合理化建议400余条。</w:t>
      </w:r>
    </w:p>
    <w:p w14:paraId="19280A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实施科技帮扶工程，服务现代农业发展。引导新建农村专业技术协会16个、农技协联合会1个；培育农村电商5个；实施“千会千村联万户”工程，推动60个农技协结对帮扶60个贫困村1</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200余户贫困户；开展“迎新春科技大赶场”活动，动员涉农专家132人次“走基层”，开展农村专业技术培训113场次。成功举办全省产业扶贫春季攻势大培训活动。</w:t>
      </w:r>
    </w:p>
    <w:p w14:paraId="56CF462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实施增智增收工程，提升科技服务能力。积极开展科技助力精准扶贫“供给库”和科技助力精准扶贫“需求库”建设，推动科技资源与贫困村（户）的精准高效对接，完成了县（区）调查摸底工作；运用“现代农业技术培训基地”“农民夜校”“农村党员远程教育系统”载体，开展“定点、定向、订单”培训40场次，印制“农民夜校”专用教材6</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000册，发放资料2万余份，受益群众5万余人。组织第二届“乡土人才”大赛，选送3名选手参加全省大赛。</w:t>
      </w:r>
    </w:p>
    <w:p w14:paraId="65F83B4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实施科普引领工程，提升群众科学素质。依托科普惠农兴村服务站等平台，组织农村实用技术培训、扶智扶技科普讲座20场，开展科普活动280场次；充分运用广播等方式，开展以扶贫政策、生产技术、健康卫生等为主要内容的宣传活动。</w:t>
      </w:r>
    </w:p>
    <w:p w14:paraId="1967FEF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大力推进“银会合作”，助推农技协发展。会同市邮储银行强化金融服务站管理，落实“银会合作”贷款贴息补助政策，推进“银会合作”示范基地建设，扩大信贷投放，已发放贷款76笔共7</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954万元。</w:t>
      </w:r>
    </w:p>
    <w:p w14:paraId="218C8AB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主动履职，推动《纲要》落实落地。组织起草《遂宁市全民科学素质行动计划纲要实施方案（2016-2020年）》，成功通过市政府常务会审议并印发实施；组织召开了《纲要》工作联席会议，及时研究出台2017年纲要工作要点、年度目标考核办法，建立健全了政府主导、部门协作、社会参与的科研和科普相结合、第三方监测评估和社会动员工作机制，重点人群科学素质提升工作有力有序推进</w:t>
      </w:r>
      <w:r>
        <w:rPr>
          <w:rFonts w:hint="eastAsia" w:ascii="Times New Roman" w:hAnsi="Times New Roman" w:eastAsia="仿宋_GB2312" w:cs="Times New Roman"/>
          <w:sz w:val="32"/>
          <w:szCs w:val="32"/>
          <w:lang w:eastAsia="zh-CN"/>
        </w:rPr>
        <w:t>。</w:t>
      </w:r>
    </w:p>
    <w:p w14:paraId="336CFA1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夯实基础，提升科普信息化水平。全市新建乡村、（社区、校园）科普e站67个、新设立LED电子科普显示屏18个，向公众推送科普信息50万余条；新建社区科技馆1个、科普示范基地10个、科普惠民服务站12个，新设立科普宣传栏200个，科普基础设施的覆盖面和利用率大幅提升。通过“遂宁微科普”编发科普信息800余条，阅读量突破3万人次。</w:t>
      </w:r>
    </w:p>
    <w:p w14:paraId="7D49B97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精心组织，科普服务方式和载体不断拓展。“科普活动月”“科技活动周”等集中科普宣传活动蓬勃开展，科技体验馆、社区科普大学、科普大讲堂、科普大篷车以及《科普大篷车》电视栏目等阵地不断巩固，全年组织各类科普活动322场次，参与公众30多万人次，发放科普资料140万余份。在“全国科普日活动”期间，首次开展“遂宁创造新热词”解读活动，并通过“微科普”平台连续开办5期网上解读。</w:t>
      </w:r>
    </w:p>
    <w:p w14:paraId="7E61470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青少年科技教育活动蓬勃开展。组织17个学校2万余名师生开展青少年科学调查体验和高校科技夏令营等活动；举办第30届遂宁市青创赛，全市30余万名师生参与大赛，评出等级奖502件；推荐84件作品参加国、省第32届青创赛，67件在全省大赛获奖，8件在全国大赛获奖，市科协被中国科协、省科协表彰为“优秀组织单位”。</w:t>
      </w:r>
    </w:p>
    <w:p w14:paraId="4152953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有序推进市科协所属学会承接政府转移职能试点。起草完成《市科协所属学会有序承接政府转移职能试点工作实施方案》，经市委深改组第十七次会议审议通过并印发实施，配套下发了《关于认真贯彻落实〈市科协所属学会有序承接政府转移职能试点工作实施方案〉精神有关事项的通知》，组织纳入首批试点的职能转出部门、职能承接学会和市科协签订了三方任务书，确保了首批学会承能试点工作有序推进</w:t>
      </w:r>
      <w:r>
        <w:rPr>
          <w:rFonts w:hint="eastAsia" w:ascii="Times New Roman" w:hAnsi="Times New Roman" w:eastAsia="仿宋_GB2312" w:cs="Times New Roman"/>
          <w:sz w:val="32"/>
          <w:szCs w:val="32"/>
          <w:lang w:eastAsia="zh-CN"/>
        </w:rPr>
        <w:t>；</w:t>
      </w:r>
    </w:p>
    <w:p w14:paraId="664EF35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稳步推进遂宁市科协系统深化改革。组织草拟了《遂宁市科协系统改革方案》，经市委深改组第十八次会议审议通过并印发实施。成功组织召开全市科协系统改革动员推进会，落实了科协系统改革工作重点、工作目标和工作步骤；在市科协第七次代表大会上，已实质性落实了“提高科协领导机构中基层科技工作者代表比例，增强代表性和广泛性”内容；科协机关事业单位改革工作正在积极与市委编办等部门对接；</w:t>
      </w:r>
    </w:p>
    <w:p w14:paraId="175AA2E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成功争取纳入了全国地方科协深化改革试点。在省科协和市委领导关心支持下，遂宁市成功纳入中国科协地方科协深化系统改革试点，成为全国13个地市级试点单位之一，主要试点内容为加强基层组织建设。按照试点要求，市科协及时出台《遂宁市科协基层组织建设试点工作实施方案》，明确了基层组织建设“四个全覆盖”工作目标，确定了试点工作时间表和路线图，落实了工作责任。</w:t>
      </w:r>
    </w:p>
    <w:p w14:paraId="569F91E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奋力推动市级学会改革转型。主动与全国学会对接，探索建立了中国城市规划学会遂宁服务站；先后与中国环境科学学会、中国汽车工程学会、中国电机工程学会等全国学会进行对接，借力国内高端学术资源，助力我市创新发展；组织市属学（协）会实施学会创新和服务能力提升项目9项；推动新建科技工作者之家2个；指导市土木建筑学会、市中药材种植协会等学会举办高水平年会和学术交流会议5场次。</w:t>
      </w:r>
    </w:p>
    <w:p w14:paraId="4CEFAEC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目督办对遂宁市科学技术协会2017年度部门履职情况考评分为218.60分，部门整体绩效评价总分10分。</w:t>
      </w:r>
    </w:p>
    <w:p w14:paraId="4815F5DD">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（五）财务管理情况</w:t>
      </w:r>
    </w:p>
    <w:p w14:paraId="12B41D2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 w:cs="仿宋"/>
          <w:bCs/>
          <w:sz w:val="32"/>
          <w:szCs w:val="32"/>
        </w:rPr>
      </w:pPr>
      <w:r>
        <w:rPr>
          <w:rFonts w:hint="eastAsia" w:ascii="Times New Roman" w:hAnsi="Times New Roman" w:eastAsia="仿宋_GB2312" w:cs="Times New Roman"/>
          <w:sz w:val="32"/>
          <w:szCs w:val="32"/>
        </w:rPr>
        <w:t>截止2017年12月31日，科学技术协会的财务管理制度较为健全，会计核算和账务处理基本能够执行相关制度。</w:t>
      </w:r>
    </w:p>
    <w:p w14:paraId="70015CF6">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（六）绩效管理工作开展情况</w:t>
      </w:r>
    </w:p>
    <w:p w14:paraId="2DB1B88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2018年7月，中共遂宁市科学技术协会向财政局报送了《四川省遂宁市科学技术协会2017年市级部门整体支出绩效报告》，对当年绩效按要求进行评价。</w:t>
      </w:r>
    </w:p>
    <w:p w14:paraId="73CA2EB7">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黑体"/>
          <w:b/>
          <w:sz w:val="32"/>
          <w:szCs w:val="32"/>
        </w:rPr>
      </w:pPr>
      <w:r>
        <w:rPr>
          <w:rFonts w:ascii="Times New Roman" w:hAnsi="Times New Roman" w:eastAsia="黑体"/>
          <w:b/>
          <w:sz w:val="32"/>
          <w:szCs w:val="32"/>
        </w:rPr>
        <w:t>五、评价结论及建议</w:t>
      </w:r>
    </w:p>
    <w:p w14:paraId="3E9E0439">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楷体_GB2312" w:cs="楷体_GB2312"/>
          <w:b/>
          <w:sz w:val="32"/>
          <w:szCs w:val="32"/>
        </w:rPr>
      </w:pPr>
      <w:r>
        <w:rPr>
          <w:rFonts w:hint="eastAsia" w:ascii="Times New Roman" w:hAnsi="Times New Roman" w:eastAsia="楷体_GB2312" w:cs="楷体_GB2312"/>
          <w:b/>
          <w:sz w:val="32"/>
          <w:szCs w:val="32"/>
        </w:rPr>
        <w:t>（一）评价结论</w:t>
      </w:r>
    </w:p>
    <w:p w14:paraId="1D79FC8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color w:val="000000"/>
          <w:sz w:val="32"/>
          <w:szCs w:val="32"/>
        </w:rPr>
      </w:pPr>
      <w:r>
        <w:rPr>
          <w:rFonts w:hint="eastAsia" w:ascii="Times New Roman" w:hAnsi="Times New Roman" w:eastAsia="仿宋_GB2312" w:cs="仿宋_GB2312"/>
          <w:bCs/>
          <w:sz w:val="32"/>
          <w:szCs w:val="32"/>
        </w:rPr>
        <w:t>总体看，科学</w:t>
      </w:r>
      <w:r>
        <w:rPr>
          <w:rFonts w:hint="eastAsia" w:ascii="Times New Roman" w:hAnsi="Times New Roman" w:eastAsia="仿宋_GB2312" w:cs="Times New Roman"/>
          <w:sz w:val="32"/>
          <w:szCs w:val="32"/>
        </w:rPr>
        <w:t>技术协会2017年预算报送及时合规、财务核算较为规范、内控制度建设较完善，较好地完成了各项目标任务。但在信息公开、内控制度执行、</w:t>
      </w:r>
      <w:r>
        <w:rPr>
          <w:rFonts w:hint="eastAsia" w:ascii="Times New Roman" w:hAnsi="Times New Roman" w:eastAsia="仿宋_GB2312" w:cs="Times New Roman"/>
          <w:sz w:val="32"/>
          <w:szCs w:val="32"/>
          <w:lang w:val="en-US" w:eastAsia="zh-CN"/>
        </w:rPr>
        <w:t>财务核算</w:t>
      </w:r>
      <w:r>
        <w:rPr>
          <w:rFonts w:hint="eastAsia" w:ascii="Times New Roman" w:hAnsi="Times New Roman" w:eastAsia="仿宋_GB2312" w:cs="Times New Roman"/>
          <w:sz w:val="32"/>
          <w:szCs w:val="32"/>
        </w:rPr>
        <w:t>等方面还存在一些问题。遂宁市科学技术协会整体评价得分93.11分</w:t>
      </w:r>
      <w:r>
        <w:rPr>
          <w:rFonts w:hint="eastAsia" w:ascii="Times New Roman" w:hAnsi="Times New Roman" w:eastAsia="仿宋_GB2312" w:cs="仿宋_GB2312"/>
          <w:bCs/>
          <w:color w:val="000000"/>
          <w:sz w:val="32"/>
          <w:szCs w:val="32"/>
        </w:rPr>
        <w:t>，详见下表：</w:t>
      </w:r>
    </w:p>
    <w:p w14:paraId="57A1A705">
      <w:pPr>
        <w:spacing w:line="300" w:lineRule="exact"/>
        <w:jc w:val="center"/>
        <w:rPr>
          <w:rFonts w:ascii="Times New Roman" w:hAnsi="Times New Roman" w:eastAsia="仿宋"/>
          <w:bCs/>
          <w:color w:val="000000"/>
          <w:sz w:val="24"/>
        </w:rPr>
      </w:pPr>
    </w:p>
    <w:tbl>
      <w:tblPr>
        <w:tblStyle w:val="7"/>
        <w:tblW w:w="8850" w:type="dxa"/>
        <w:tblInd w:w="108" w:type="dxa"/>
        <w:tblLayout w:type="fixed"/>
        <w:tblCellMar>
          <w:top w:w="0" w:type="dxa"/>
          <w:left w:w="108" w:type="dxa"/>
          <w:bottom w:w="0" w:type="dxa"/>
          <w:right w:w="108" w:type="dxa"/>
        </w:tblCellMar>
      </w:tblPr>
      <w:tblGrid>
        <w:gridCol w:w="1536"/>
        <w:gridCol w:w="2610"/>
        <w:gridCol w:w="2916"/>
        <w:gridCol w:w="697"/>
        <w:gridCol w:w="1091"/>
      </w:tblGrid>
      <w:tr w14:paraId="57727FFC">
        <w:tblPrEx>
          <w:tblCellMar>
            <w:top w:w="0" w:type="dxa"/>
            <w:left w:w="108" w:type="dxa"/>
            <w:bottom w:w="0" w:type="dxa"/>
            <w:right w:w="108" w:type="dxa"/>
          </w:tblCellMar>
        </w:tblPrEx>
        <w:trPr>
          <w:trHeight w:val="612" w:hRule="atLeast"/>
        </w:trPr>
        <w:tc>
          <w:tcPr>
            <w:tcW w:w="1536" w:type="dxa"/>
            <w:tcBorders>
              <w:top w:val="single" w:color="auto" w:sz="4" w:space="0"/>
              <w:left w:val="single" w:color="auto" w:sz="4" w:space="0"/>
              <w:bottom w:val="single" w:color="auto" w:sz="4" w:space="0"/>
              <w:right w:val="single" w:color="auto" w:sz="4" w:space="0"/>
            </w:tcBorders>
            <w:vAlign w:val="center"/>
          </w:tcPr>
          <w:p w14:paraId="58893B65">
            <w:pPr>
              <w:widowControl/>
              <w:spacing w:line="260" w:lineRule="exact"/>
              <w:jc w:val="center"/>
              <w:rPr>
                <w:rFonts w:hint="eastAsia" w:ascii="宋体" w:hAnsi="宋体" w:eastAsia="宋体" w:cs="宋体"/>
                <w:b/>
                <w:bCs w:val="0"/>
                <w:kern w:val="0"/>
                <w:sz w:val="22"/>
                <w:szCs w:val="22"/>
              </w:rPr>
            </w:pPr>
            <w:r>
              <w:rPr>
                <w:rFonts w:hint="eastAsia" w:ascii="宋体" w:hAnsi="宋体" w:eastAsia="宋体" w:cs="宋体"/>
                <w:b/>
                <w:bCs w:val="0"/>
                <w:kern w:val="0"/>
                <w:sz w:val="22"/>
                <w:szCs w:val="22"/>
              </w:rPr>
              <w:t>一级指标</w:t>
            </w:r>
          </w:p>
        </w:tc>
        <w:tc>
          <w:tcPr>
            <w:tcW w:w="2610" w:type="dxa"/>
            <w:tcBorders>
              <w:top w:val="single" w:color="auto" w:sz="4" w:space="0"/>
              <w:left w:val="nil"/>
              <w:bottom w:val="single" w:color="auto" w:sz="4" w:space="0"/>
              <w:right w:val="single" w:color="auto" w:sz="4" w:space="0"/>
            </w:tcBorders>
            <w:vAlign w:val="center"/>
          </w:tcPr>
          <w:p w14:paraId="254F85EF">
            <w:pPr>
              <w:widowControl/>
              <w:spacing w:line="260" w:lineRule="exact"/>
              <w:jc w:val="center"/>
              <w:rPr>
                <w:rFonts w:hint="eastAsia" w:ascii="宋体" w:hAnsi="宋体" w:eastAsia="宋体" w:cs="宋体"/>
                <w:b/>
                <w:bCs w:val="0"/>
                <w:kern w:val="0"/>
                <w:sz w:val="22"/>
                <w:szCs w:val="22"/>
              </w:rPr>
            </w:pPr>
            <w:r>
              <w:rPr>
                <w:rFonts w:hint="eastAsia" w:ascii="宋体" w:hAnsi="宋体" w:eastAsia="宋体" w:cs="宋体"/>
                <w:b/>
                <w:bCs w:val="0"/>
                <w:kern w:val="0"/>
                <w:sz w:val="22"/>
                <w:szCs w:val="22"/>
              </w:rPr>
              <w:t>二级指标</w:t>
            </w:r>
          </w:p>
        </w:tc>
        <w:tc>
          <w:tcPr>
            <w:tcW w:w="2916" w:type="dxa"/>
            <w:tcBorders>
              <w:top w:val="single" w:color="auto" w:sz="4" w:space="0"/>
              <w:left w:val="nil"/>
              <w:bottom w:val="single" w:color="auto" w:sz="4" w:space="0"/>
              <w:right w:val="single" w:color="auto" w:sz="4" w:space="0"/>
            </w:tcBorders>
            <w:vAlign w:val="center"/>
          </w:tcPr>
          <w:p w14:paraId="2E59439E">
            <w:pPr>
              <w:widowControl/>
              <w:spacing w:line="260" w:lineRule="exact"/>
              <w:jc w:val="center"/>
              <w:rPr>
                <w:rFonts w:hint="eastAsia" w:ascii="宋体" w:hAnsi="宋体" w:eastAsia="宋体" w:cs="宋体"/>
                <w:b/>
                <w:bCs w:val="0"/>
                <w:kern w:val="0"/>
                <w:sz w:val="22"/>
                <w:szCs w:val="22"/>
              </w:rPr>
            </w:pPr>
            <w:r>
              <w:rPr>
                <w:rFonts w:hint="eastAsia" w:ascii="宋体" w:hAnsi="宋体" w:eastAsia="宋体" w:cs="宋体"/>
                <w:b/>
                <w:bCs w:val="0"/>
                <w:kern w:val="0"/>
                <w:sz w:val="22"/>
                <w:szCs w:val="22"/>
              </w:rPr>
              <w:t>三级指标</w:t>
            </w:r>
          </w:p>
        </w:tc>
        <w:tc>
          <w:tcPr>
            <w:tcW w:w="697" w:type="dxa"/>
            <w:tcBorders>
              <w:top w:val="single" w:color="auto" w:sz="4" w:space="0"/>
              <w:left w:val="nil"/>
              <w:bottom w:val="single" w:color="auto" w:sz="4" w:space="0"/>
              <w:right w:val="single" w:color="auto" w:sz="4" w:space="0"/>
            </w:tcBorders>
            <w:vAlign w:val="center"/>
          </w:tcPr>
          <w:p w14:paraId="629D1B70">
            <w:pPr>
              <w:widowControl/>
              <w:spacing w:line="260" w:lineRule="exact"/>
              <w:jc w:val="center"/>
              <w:rPr>
                <w:rFonts w:hint="eastAsia" w:ascii="宋体" w:hAnsi="宋体" w:eastAsia="宋体" w:cs="宋体"/>
                <w:b/>
                <w:bCs w:val="0"/>
                <w:kern w:val="0"/>
                <w:sz w:val="22"/>
                <w:szCs w:val="22"/>
              </w:rPr>
            </w:pPr>
            <w:r>
              <w:rPr>
                <w:rFonts w:hint="eastAsia" w:ascii="宋体" w:hAnsi="宋体" w:eastAsia="宋体" w:cs="宋体"/>
                <w:b/>
                <w:bCs w:val="0"/>
                <w:kern w:val="0"/>
                <w:sz w:val="22"/>
                <w:szCs w:val="22"/>
              </w:rPr>
              <w:t>分值</w:t>
            </w:r>
          </w:p>
        </w:tc>
        <w:tc>
          <w:tcPr>
            <w:tcW w:w="1091" w:type="dxa"/>
            <w:tcBorders>
              <w:top w:val="single" w:color="auto" w:sz="4" w:space="0"/>
              <w:left w:val="nil"/>
              <w:bottom w:val="single" w:color="auto" w:sz="4" w:space="0"/>
              <w:right w:val="single" w:color="auto" w:sz="4" w:space="0"/>
            </w:tcBorders>
            <w:vAlign w:val="center"/>
          </w:tcPr>
          <w:p w14:paraId="6E074DA0">
            <w:pPr>
              <w:widowControl/>
              <w:spacing w:line="260" w:lineRule="exact"/>
              <w:jc w:val="center"/>
              <w:rPr>
                <w:rFonts w:hint="eastAsia" w:ascii="宋体" w:hAnsi="宋体" w:eastAsia="宋体" w:cs="宋体"/>
                <w:b/>
                <w:bCs w:val="0"/>
                <w:kern w:val="0"/>
                <w:sz w:val="22"/>
                <w:szCs w:val="22"/>
              </w:rPr>
            </w:pPr>
            <w:r>
              <w:rPr>
                <w:rFonts w:hint="eastAsia" w:ascii="宋体" w:hAnsi="宋体" w:eastAsia="宋体" w:cs="宋体"/>
                <w:b/>
                <w:bCs w:val="0"/>
                <w:kern w:val="0"/>
                <w:sz w:val="22"/>
                <w:szCs w:val="22"/>
              </w:rPr>
              <w:t>评分</w:t>
            </w:r>
          </w:p>
        </w:tc>
      </w:tr>
      <w:tr w14:paraId="11044BAF">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15D4C263">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预算编制（10分）</w:t>
            </w:r>
          </w:p>
        </w:tc>
        <w:tc>
          <w:tcPr>
            <w:tcW w:w="2610" w:type="dxa"/>
            <w:tcBorders>
              <w:top w:val="nil"/>
              <w:left w:val="nil"/>
              <w:bottom w:val="single" w:color="auto" w:sz="4" w:space="0"/>
              <w:right w:val="single" w:color="auto" w:sz="4" w:space="0"/>
            </w:tcBorders>
            <w:vAlign w:val="center"/>
          </w:tcPr>
          <w:p w14:paraId="183C57F0">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报送时效（1分）</w:t>
            </w:r>
          </w:p>
        </w:tc>
        <w:tc>
          <w:tcPr>
            <w:tcW w:w="2916" w:type="dxa"/>
            <w:tcBorders>
              <w:top w:val="nil"/>
              <w:left w:val="nil"/>
              <w:bottom w:val="single" w:color="auto" w:sz="4" w:space="0"/>
              <w:right w:val="single" w:color="auto" w:sz="4" w:space="0"/>
            </w:tcBorders>
            <w:vAlign w:val="center"/>
          </w:tcPr>
          <w:p w14:paraId="7B3F1EF7">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基础信息更新</w:t>
            </w:r>
          </w:p>
        </w:tc>
        <w:tc>
          <w:tcPr>
            <w:tcW w:w="697" w:type="dxa"/>
            <w:tcBorders>
              <w:top w:val="nil"/>
              <w:left w:val="nil"/>
              <w:bottom w:val="single" w:color="auto" w:sz="4" w:space="0"/>
              <w:right w:val="single" w:color="auto" w:sz="4" w:space="0"/>
            </w:tcBorders>
            <w:vAlign w:val="center"/>
          </w:tcPr>
          <w:p w14:paraId="71619B6D">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1B8DF03C">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1</w:t>
            </w:r>
          </w:p>
        </w:tc>
      </w:tr>
      <w:tr w14:paraId="17832626">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968A02C">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6C83F796">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编制质量（2分）</w:t>
            </w:r>
          </w:p>
        </w:tc>
        <w:tc>
          <w:tcPr>
            <w:tcW w:w="2916" w:type="dxa"/>
            <w:tcBorders>
              <w:top w:val="nil"/>
              <w:left w:val="nil"/>
              <w:bottom w:val="single" w:color="auto" w:sz="4" w:space="0"/>
              <w:right w:val="single" w:color="auto" w:sz="4" w:space="0"/>
            </w:tcBorders>
            <w:vAlign w:val="center"/>
          </w:tcPr>
          <w:p w14:paraId="0ADCAFCA">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预算编制准确</w:t>
            </w:r>
          </w:p>
        </w:tc>
        <w:tc>
          <w:tcPr>
            <w:tcW w:w="697" w:type="dxa"/>
            <w:tcBorders>
              <w:top w:val="nil"/>
              <w:left w:val="nil"/>
              <w:bottom w:val="single" w:color="auto" w:sz="4" w:space="0"/>
              <w:right w:val="single" w:color="auto" w:sz="4" w:space="0"/>
            </w:tcBorders>
            <w:vAlign w:val="center"/>
          </w:tcPr>
          <w:p w14:paraId="18500A48">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38229077">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0.93</w:t>
            </w:r>
          </w:p>
        </w:tc>
      </w:tr>
      <w:tr w14:paraId="1619E740">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786E5756">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069FFA0E">
            <w:pPr>
              <w:widowControl/>
              <w:spacing w:line="52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5DE3ADC0">
            <w:pPr>
              <w:widowControl/>
              <w:spacing w:line="52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部门预算审查</w:t>
            </w:r>
          </w:p>
        </w:tc>
        <w:tc>
          <w:tcPr>
            <w:tcW w:w="697" w:type="dxa"/>
            <w:tcBorders>
              <w:top w:val="single" w:color="auto" w:sz="4" w:space="0"/>
              <w:left w:val="nil"/>
              <w:bottom w:val="single" w:color="auto" w:sz="4" w:space="0"/>
              <w:right w:val="single" w:color="auto" w:sz="4" w:space="0"/>
            </w:tcBorders>
            <w:vAlign w:val="center"/>
          </w:tcPr>
          <w:p w14:paraId="2D78F06E">
            <w:pPr>
              <w:widowControl/>
              <w:spacing w:line="52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single" w:color="auto" w:sz="4" w:space="0"/>
              <w:left w:val="nil"/>
              <w:bottom w:val="single" w:color="auto" w:sz="4" w:space="0"/>
              <w:right w:val="single" w:color="auto" w:sz="4" w:space="0"/>
            </w:tcBorders>
            <w:vAlign w:val="center"/>
          </w:tcPr>
          <w:p w14:paraId="2A6B6507">
            <w:pPr>
              <w:widowControl/>
              <w:spacing w:line="520" w:lineRule="exact"/>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14:paraId="717D1FCB">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33D31CD3">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0EF1A68D">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绩效目标（5分）</w:t>
            </w:r>
          </w:p>
        </w:tc>
        <w:tc>
          <w:tcPr>
            <w:tcW w:w="2916" w:type="dxa"/>
            <w:tcBorders>
              <w:top w:val="single" w:color="auto" w:sz="4" w:space="0"/>
              <w:left w:val="nil"/>
              <w:bottom w:val="single" w:color="auto" w:sz="4" w:space="0"/>
              <w:right w:val="single" w:color="auto" w:sz="4" w:space="0"/>
            </w:tcBorders>
            <w:vAlign w:val="center"/>
          </w:tcPr>
          <w:p w14:paraId="50A36D2C">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部门整体绩效目标</w:t>
            </w:r>
          </w:p>
        </w:tc>
        <w:tc>
          <w:tcPr>
            <w:tcW w:w="697" w:type="dxa"/>
            <w:tcBorders>
              <w:top w:val="single" w:color="auto" w:sz="4" w:space="0"/>
              <w:left w:val="nil"/>
              <w:bottom w:val="single" w:color="auto" w:sz="4" w:space="0"/>
              <w:right w:val="single" w:color="auto" w:sz="4" w:space="0"/>
            </w:tcBorders>
            <w:vAlign w:val="center"/>
          </w:tcPr>
          <w:p w14:paraId="12A005D9">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2B00D7A1">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4121EC7B">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0394C0AE">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658A8608">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10C2229E">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重点项目绩效目标</w:t>
            </w:r>
          </w:p>
        </w:tc>
        <w:tc>
          <w:tcPr>
            <w:tcW w:w="697" w:type="dxa"/>
            <w:tcBorders>
              <w:top w:val="nil"/>
              <w:left w:val="nil"/>
              <w:bottom w:val="single" w:color="auto" w:sz="4" w:space="0"/>
              <w:right w:val="single" w:color="auto" w:sz="4" w:space="0"/>
            </w:tcBorders>
            <w:vAlign w:val="center"/>
          </w:tcPr>
          <w:p w14:paraId="4D5BAB70">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4A846E07">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14:paraId="472E8C9F">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2563EF40">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14:paraId="5D7480C6">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转移支付提前下达</w:t>
            </w:r>
          </w:p>
        </w:tc>
        <w:tc>
          <w:tcPr>
            <w:tcW w:w="2916" w:type="dxa"/>
            <w:tcBorders>
              <w:top w:val="nil"/>
              <w:left w:val="nil"/>
              <w:bottom w:val="single" w:color="auto" w:sz="4" w:space="0"/>
              <w:right w:val="single" w:color="auto" w:sz="4" w:space="0"/>
            </w:tcBorders>
            <w:vAlign w:val="center"/>
          </w:tcPr>
          <w:p w14:paraId="5DE844C9">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转移支付提前下达</w:t>
            </w:r>
          </w:p>
        </w:tc>
        <w:tc>
          <w:tcPr>
            <w:tcW w:w="697" w:type="dxa"/>
            <w:tcBorders>
              <w:top w:val="nil"/>
              <w:left w:val="nil"/>
              <w:bottom w:val="single" w:color="auto" w:sz="4" w:space="0"/>
              <w:right w:val="single" w:color="auto" w:sz="4" w:space="0"/>
            </w:tcBorders>
            <w:vAlign w:val="center"/>
          </w:tcPr>
          <w:p w14:paraId="4707C242">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2D4A96ED">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14:paraId="01AE9CED">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8FABA54">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14:paraId="5BF96918">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专项转移支付分地区分项目编制</w:t>
            </w:r>
          </w:p>
        </w:tc>
        <w:tc>
          <w:tcPr>
            <w:tcW w:w="2916" w:type="dxa"/>
            <w:tcBorders>
              <w:top w:val="nil"/>
              <w:left w:val="nil"/>
              <w:bottom w:val="single" w:color="auto" w:sz="4" w:space="0"/>
              <w:right w:val="single" w:color="auto" w:sz="4" w:space="0"/>
            </w:tcBorders>
            <w:vAlign w:val="center"/>
          </w:tcPr>
          <w:p w14:paraId="126EC91C">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专项转移支付分地区分项目编制</w:t>
            </w:r>
          </w:p>
        </w:tc>
        <w:tc>
          <w:tcPr>
            <w:tcW w:w="697" w:type="dxa"/>
            <w:tcBorders>
              <w:top w:val="nil"/>
              <w:left w:val="nil"/>
              <w:bottom w:val="single" w:color="auto" w:sz="4" w:space="0"/>
              <w:right w:val="single" w:color="auto" w:sz="4" w:space="0"/>
            </w:tcBorders>
            <w:vAlign w:val="center"/>
          </w:tcPr>
          <w:p w14:paraId="7506B5CC">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c>
          <w:tcPr>
            <w:tcW w:w="1091" w:type="dxa"/>
            <w:tcBorders>
              <w:top w:val="nil"/>
              <w:left w:val="nil"/>
              <w:bottom w:val="single" w:color="auto" w:sz="4" w:space="0"/>
              <w:right w:val="single" w:color="auto" w:sz="4" w:space="0"/>
            </w:tcBorders>
            <w:vAlign w:val="center"/>
          </w:tcPr>
          <w:p w14:paraId="69E154C0">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w:t>
            </w:r>
          </w:p>
        </w:tc>
      </w:tr>
      <w:tr w14:paraId="2113D286">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3B098D35">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预算执行（20分）</w:t>
            </w:r>
          </w:p>
        </w:tc>
        <w:tc>
          <w:tcPr>
            <w:tcW w:w="2610" w:type="dxa"/>
            <w:vMerge w:val="restart"/>
            <w:tcBorders>
              <w:top w:val="nil"/>
              <w:left w:val="single" w:color="auto" w:sz="4" w:space="0"/>
              <w:bottom w:val="single" w:color="auto" w:sz="4" w:space="0"/>
              <w:right w:val="single" w:color="auto" w:sz="4" w:space="0"/>
            </w:tcBorders>
            <w:vAlign w:val="center"/>
          </w:tcPr>
          <w:p w14:paraId="4D011C6C">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执行进度（10分）</w:t>
            </w:r>
          </w:p>
        </w:tc>
        <w:tc>
          <w:tcPr>
            <w:tcW w:w="2916" w:type="dxa"/>
            <w:tcBorders>
              <w:top w:val="nil"/>
              <w:left w:val="nil"/>
              <w:bottom w:val="single" w:color="auto" w:sz="4" w:space="0"/>
              <w:right w:val="single" w:color="auto" w:sz="4" w:space="0"/>
            </w:tcBorders>
            <w:vAlign w:val="center"/>
          </w:tcPr>
          <w:p w14:paraId="6E23AEE6">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省级财力专项预算分配时限</w:t>
            </w:r>
          </w:p>
        </w:tc>
        <w:tc>
          <w:tcPr>
            <w:tcW w:w="697" w:type="dxa"/>
            <w:tcBorders>
              <w:top w:val="nil"/>
              <w:left w:val="nil"/>
              <w:bottom w:val="single" w:color="auto" w:sz="4" w:space="0"/>
              <w:right w:val="single" w:color="auto" w:sz="4" w:space="0"/>
            </w:tcBorders>
            <w:vAlign w:val="center"/>
          </w:tcPr>
          <w:p w14:paraId="3CB6C31D">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14:paraId="01780A1C">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4</w:t>
            </w:r>
          </w:p>
        </w:tc>
      </w:tr>
      <w:tr w14:paraId="10CD4508">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068832F1">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24FF5C8E">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34CE4368">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中央专款分配合规率</w:t>
            </w:r>
          </w:p>
        </w:tc>
        <w:tc>
          <w:tcPr>
            <w:tcW w:w="697" w:type="dxa"/>
            <w:tcBorders>
              <w:top w:val="nil"/>
              <w:left w:val="nil"/>
              <w:bottom w:val="single" w:color="auto" w:sz="4" w:space="0"/>
              <w:right w:val="single" w:color="auto" w:sz="4" w:space="0"/>
            </w:tcBorders>
            <w:vAlign w:val="center"/>
          </w:tcPr>
          <w:p w14:paraId="6BDBE143">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59EE001B">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14:paraId="27673A26">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70D4C66">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1409B23">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14FB3298">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部门预算执行进度</w:t>
            </w:r>
          </w:p>
        </w:tc>
        <w:tc>
          <w:tcPr>
            <w:tcW w:w="697" w:type="dxa"/>
            <w:tcBorders>
              <w:top w:val="nil"/>
              <w:left w:val="nil"/>
              <w:bottom w:val="single" w:color="auto" w:sz="4" w:space="0"/>
              <w:right w:val="single" w:color="auto" w:sz="4" w:space="0"/>
            </w:tcBorders>
            <w:vAlign w:val="center"/>
          </w:tcPr>
          <w:p w14:paraId="4F5ED16F">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62B296CC">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2.68</w:t>
            </w:r>
          </w:p>
        </w:tc>
      </w:tr>
      <w:tr w14:paraId="1C9D6EC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DF70ACF">
            <w:pPr>
              <w:widowControl/>
              <w:spacing w:line="260" w:lineRule="exact"/>
              <w:jc w:val="left"/>
              <w:rPr>
                <w:rFonts w:hint="eastAsia" w:ascii="宋体" w:hAnsi="宋体" w:eastAsia="宋体" w:cs="宋体"/>
                <w:bCs/>
                <w:kern w:val="0"/>
                <w:sz w:val="22"/>
                <w:szCs w:val="22"/>
              </w:rPr>
            </w:pPr>
          </w:p>
        </w:tc>
        <w:tc>
          <w:tcPr>
            <w:tcW w:w="2610" w:type="dxa"/>
            <w:tcBorders>
              <w:top w:val="nil"/>
              <w:left w:val="nil"/>
              <w:bottom w:val="single" w:color="auto" w:sz="4" w:space="0"/>
              <w:right w:val="single" w:color="auto" w:sz="4" w:space="0"/>
            </w:tcBorders>
            <w:vAlign w:val="center"/>
          </w:tcPr>
          <w:p w14:paraId="0C655464">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预算调整（4分）</w:t>
            </w:r>
          </w:p>
        </w:tc>
        <w:tc>
          <w:tcPr>
            <w:tcW w:w="2916" w:type="dxa"/>
            <w:tcBorders>
              <w:top w:val="nil"/>
              <w:left w:val="nil"/>
              <w:bottom w:val="single" w:color="auto" w:sz="4" w:space="0"/>
              <w:right w:val="single" w:color="auto" w:sz="4" w:space="0"/>
            </w:tcBorders>
            <w:vAlign w:val="center"/>
          </w:tcPr>
          <w:p w14:paraId="79CB4BAC">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执行中期评估</w:t>
            </w:r>
          </w:p>
        </w:tc>
        <w:tc>
          <w:tcPr>
            <w:tcW w:w="697" w:type="dxa"/>
            <w:tcBorders>
              <w:top w:val="nil"/>
              <w:left w:val="nil"/>
              <w:bottom w:val="single" w:color="auto" w:sz="4" w:space="0"/>
              <w:right w:val="single" w:color="auto" w:sz="4" w:space="0"/>
            </w:tcBorders>
            <w:vAlign w:val="center"/>
          </w:tcPr>
          <w:p w14:paraId="6615A689">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tcBorders>
              <w:top w:val="nil"/>
              <w:left w:val="nil"/>
              <w:bottom w:val="single" w:color="auto" w:sz="4" w:space="0"/>
              <w:right w:val="single" w:color="auto" w:sz="4" w:space="0"/>
            </w:tcBorders>
            <w:vAlign w:val="center"/>
          </w:tcPr>
          <w:p w14:paraId="379C09C6">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r>
      <w:tr w14:paraId="3CF5D5FC">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7A0F812A">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4784FC21">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行政成本（6分）</w:t>
            </w:r>
          </w:p>
        </w:tc>
        <w:tc>
          <w:tcPr>
            <w:tcW w:w="2916" w:type="dxa"/>
            <w:tcBorders>
              <w:top w:val="nil"/>
              <w:left w:val="nil"/>
              <w:bottom w:val="single" w:color="auto" w:sz="4" w:space="0"/>
              <w:right w:val="single" w:color="auto" w:sz="4" w:space="0"/>
            </w:tcBorders>
            <w:vAlign w:val="center"/>
          </w:tcPr>
          <w:p w14:paraId="7322B8A3">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节能降耗</w:t>
            </w:r>
          </w:p>
        </w:tc>
        <w:tc>
          <w:tcPr>
            <w:tcW w:w="697" w:type="dxa"/>
            <w:tcBorders>
              <w:top w:val="nil"/>
              <w:left w:val="nil"/>
              <w:bottom w:val="single" w:color="auto" w:sz="4" w:space="0"/>
              <w:right w:val="single" w:color="auto" w:sz="4" w:space="0"/>
            </w:tcBorders>
            <w:vAlign w:val="center"/>
          </w:tcPr>
          <w:p w14:paraId="54A8E95B">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5FDB70C9">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14:paraId="710B864A">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A988EE5">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2B36A223">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609C05B1">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三公经费</w:t>
            </w:r>
          </w:p>
        </w:tc>
        <w:tc>
          <w:tcPr>
            <w:tcW w:w="697" w:type="dxa"/>
            <w:tcBorders>
              <w:top w:val="nil"/>
              <w:left w:val="nil"/>
              <w:bottom w:val="single" w:color="auto" w:sz="4" w:space="0"/>
              <w:right w:val="single" w:color="auto" w:sz="4" w:space="0"/>
            </w:tcBorders>
            <w:vAlign w:val="center"/>
          </w:tcPr>
          <w:p w14:paraId="683F2201">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c>
          <w:tcPr>
            <w:tcW w:w="1091" w:type="dxa"/>
            <w:tcBorders>
              <w:top w:val="nil"/>
              <w:left w:val="nil"/>
              <w:bottom w:val="single" w:color="auto" w:sz="4" w:space="0"/>
              <w:right w:val="single" w:color="auto" w:sz="4" w:space="0"/>
            </w:tcBorders>
            <w:vAlign w:val="center"/>
          </w:tcPr>
          <w:p w14:paraId="7351ADD3">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3</w:t>
            </w:r>
          </w:p>
        </w:tc>
      </w:tr>
      <w:tr w14:paraId="1595E3DE">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7A28CA95">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综合管理（40分）</w:t>
            </w:r>
          </w:p>
        </w:tc>
        <w:tc>
          <w:tcPr>
            <w:tcW w:w="2610" w:type="dxa"/>
            <w:tcBorders>
              <w:top w:val="nil"/>
              <w:left w:val="nil"/>
              <w:bottom w:val="single" w:color="auto" w:sz="4" w:space="0"/>
              <w:right w:val="single" w:color="auto" w:sz="4" w:space="0"/>
            </w:tcBorders>
            <w:vAlign w:val="center"/>
          </w:tcPr>
          <w:p w14:paraId="36FDF31E">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债务管理（2分）</w:t>
            </w:r>
          </w:p>
        </w:tc>
        <w:tc>
          <w:tcPr>
            <w:tcW w:w="2916" w:type="dxa"/>
            <w:tcBorders>
              <w:top w:val="nil"/>
              <w:left w:val="nil"/>
              <w:bottom w:val="single" w:color="auto" w:sz="4" w:space="0"/>
              <w:right w:val="single" w:color="auto" w:sz="4" w:space="0"/>
            </w:tcBorders>
            <w:vAlign w:val="center"/>
          </w:tcPr>
          <w:p w14:paraId="0F932963">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债务还本付息</w:t>
            </w:r>
          </w:p>
        </w:tc>
        <w:tc>
          <w:tcPr>
            <w:tcW w:w="697" w:type="dxa"/>
            <w:tcBorders>
              <w:top w:val="nil"/>
              <w:left w:val="nil"/>
              <w:bottom w:val="single" w:color="auto" w:sz="4" w:space="0"/>
              <w:right w:val="single" w:color="auto" w:sz="4" w:space="0"/>
            </w:tcBorders>
            <w:vAlign w:val="center"/>
          </w:tcPr>
          <w:p w14:paraId="3D6CC94B">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2FF36A33">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5293979E">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248738E">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7E0C8890">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非税收入执收情况（4分）</w:t>
            </w:r>
          </w:p>
        </w:tc>
        <w:tc>
          <w:tcPr>
            <w:tcW w:w="2916" w:type="dxa"/>
            <w:tcBorders>
              <w:top w:val="nil"/>
              <w:left w:val="nil"/>
              <w:bottom w:val="single" w:color="auto" w:sz="4" w:space="0"/>
              <w:right w:val="single" w:color="auto" w:sz="4" w:space="0"/>
            </w:tcBorders>
            <w:vAlign w:val="center"/>
          </w:tcPr>
          <w:p w14:paraId="26843E70">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非税收入征收情况</w:t>
            </w:r>
          </w:p>
        </w:tc>
        <w:tc>
          <w:tcPr>
            <w:tcW w:w="697" w:type="dxa"/>
            <w:tcBorders>
              <w:top w:val="nil"/>
              <w:left w:val="nil"/>
              <w:bottom w:val="single" w:color="auto" w:sz="4" w:space="0"/>
              <w:right w:val="single" w:color="auto" w:sz="4" w:space="0"/>
            </w:tcBorders>
            <w:vAlign w:val="center"/>
          </w:tcPr>
          <w:p w14:paraId="76AB6DE0">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06E89060">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79846698">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E6A52A7">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4C0F9219">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37F82F59">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非税收入上缴情况</w:t>
            </w:r>
          </w:p>
        </w:tc>
        <w:tc>
          <w:tcPr>
            <w:tcW w:w="697" w:type="dxa"/>
            <w:tcBorders>
              <w:top w:val="nil"/>
              <w:left w:val="nil"/>
              <w:bottom w:val="single" w:color="auto" w:sz="4" w:space="0"/>
              <w:right w:val="single" w:color="auto" w:sz="4" w:space="0"/>
            </w:tcBorders>
            <w:vAlign w:val="center"/>
          </w:tcPr>
          <w:p w14:paraId="2CBBA2D1">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6BDDBEC6">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4EDAC2F2">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29E4E2ED">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211AACA7">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政府采购实施计划（4分）</w:t>
            </w:r>
          </w:p>
        </w:tc>
        <w:tc>
          <w:tcPr>
            <w:tcW w:w="2916" w:type="dxa"/>
            <w:tcBorders>
              <w:top w:val="single" w:color="auto" w:sz="4" w:space="0"/>
              <w:left w:val="nil"/>
              <w:bottom w:val="single" w:color="auto" w:sz="4" w:space="0"/>
              <w:right w:val="single" w:color="auto" w:sz="4" w:space="0"/>
            </w:tcBorders>
            <w:vAlign w:val="center"/>
          </w:tcPr>
          <w:p w14:paraId="388693E2">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政府采购实施计划编制</w:t>
            </w:r>
          </w:p>
        </w:tc>
        <w:tc>
          <w:tcPr>
            <w:tcW w:w="697" w:type="dxa"/>
            <w:tcBorders>
              <w:top w:val="single" w:color="auto" w:sz="4" w:space="0"/>
              <w:left w:val="nil"/>
              <w:bottom w:val="single" w:color="auto" w:sz="4" w:space="0"/>
              <w:right w:val="single" w:color="auto" w:sz="4" w:space="0"/>
            </w:tcBorders>
            <w:vAlign w:val="center"/>
          </w:tcPr>
          <w:p w14:paraId="22FBFF1D">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6987767D">
            <w:pPr>
              <w:widowControl/>
              <w:jc w:val="center"/>
              <w:textAlignment w:val="center"/>
              <w:rPr>
                <w:rFonts w:hint="eastAsia"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w:t>
            </w:r>
          </w:p>
        </w:tc>
      </w:tr>
      <w:tr w14:paraId="2F61BD08">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210E80AE">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6A05263C">
            <w:pPr>
              <w:widowControl/>
              <w:spacing w:line="26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2F47DC33">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政府采购实施计划的执行</w:t>
            </w:r>
          </w:p>
        </w:tc>
        <w:tc>
          <w:tcPr>
            <w:tcW w:w="697" w:type="dxa"/>
            <w:tcBorders>
              <w:top w:val="single" w:color="auto" w:sz="4" w:space="0"/>
              <w:left w:val="nil"/>
              <w:bottom w:val="single" w:color="auto" w:sz="4" w:space="0"/>
              <w:right w:val="single" w:color="auto" w:sz="4" w:space="0"/>
            </w:tcBorders>
            <w:vAlign w:val="center"/>
          </w:tcPr>
          <w:p w14:paraId="394A9815">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5019F004">
            <w:pPr>
              <w:widowControl/>
              <w:jc w:val="center"/>
              <w:textAlignment w:val="center"/>
              <w:rPr>
                <w:rFonts w:hint="eastAsia"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w:t>
            </w:r>
          </w:p>
        </w:tc>
      </w:tr>
      <w:tr w14:paraId="6AF451DA">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6AC7D7DC">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2EEA7911">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资产管理（6分）</w:t>
            </w:r>
          </w:p>
        </w:tc>
        <w:tc>
          <w:tcPr>
            <w:tcW w:w="2916" w:type="dxa"/>
            <w:tcBorders>
              <w:top w:val="nil"/>
              <w:left w:val="nil"/>
              <w:bottom w:val="single" w:color="auto" w:sz="4" w:space="0"/>
              <w:right w:val="single" w:color="auto" w:sz="4" w:space="0"/>
            </w:tcBorders>
            <w:vAlign w:val="center"/>
          </w:tcPr>
          <w:p w14:paraId="3846E2F0">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资产管理信息系统建设情况</w:t>
            </w:r>
          </w:p>
        </w:tc>
        <w:tc>
          <w:tcPr>
            <w:tcW w:w="697" w:type="dxa"/>
            <w:tcBorders>
              <w:top w:val="nil"/>
              <w:left w:val="nil"/>
              <w:bottom w:val="single" w:color="auto" w:sz="4" w:space="0"/>
              <w:right w:val="single" w:color="auto" w:sz="4" w:space="0"/>
            </w:tcBorders>
            <w:vAlign w:val="center"/>
          </w:tcPr>
          <w:p w14:paraId="1E04CD99">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57216D43">
            <w:pPr>
              <w:widowControl/>
              <w:jc w:val="center"/>
              <w:textAlignment w:val="center"/>
              <w:rPr>
                <w:rFonts w:hint="eastAsia"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w:t>
            </w:r>
          </w:p>
        </w:tc>
      </w:tr>
      <w:tr w14:paraId="219C366C">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08DC4F0E">
            <w:pPr>
              <w:widowControl/>
              <w:spacing w:line="260" w:lineRule="exact"/>
              <w:jc w:val="left"/>
              <w:rPr>
                <w:rFonts w:hint="eastAsia" w:ascii="宋体" w:hAnsi="宋体" w:eastAsia="宋体" w:cs="宋体"/>
                <w:bCs/>
                <w:kern w:val="0"/>
                <w:sz w:val="22"/>
                <w:szCs w:val="22"/>
              </w:rPr>
            </w:pPr>
          </w:p>
        </w:tc>
        <w:tc>
          <w:tcPr>
            <w:tcW w:w="2610" w:type="dxa"/>
            <w:vMerge w:val="continue"/>
            <w:tcBorders>
              <w:top w:val="single" w:color="auto" w:sz="4" w:space="0"/>
              <w:left w:val="single" w:color="auto" w:sz="4" w:space="0"/>
              <w:bottom w:val="single" w:color="auto" w:sz="4" w:space="0"/>
              <w:right w:val="single" w:color="auto" w:sz="4" w:space="0"/>
            </w:tcBorders>
            <w:vAlign w:val="center"/>
          </w:tcPr>
          <w:p w14:paraId="2E3C7AF6">
            <w:pPr>
              <w:widowControl/>
              <w:spacing w:line="260" w:lineRule="exact"/>
              <w:jc w:val="left"/>
              <w:rPr>
                <w:rFonts w:hint="eastAsia" w:ascii="宋体" w:hAnsi="宋体" w:eastAsia="宋体" w:cs="宋体"/>
                <w:bCs/>
                <w:kern w:val="0"/>
                <w:sz w:val="22"/>
                <w:szCs w:val="22"/>
              </w:rPr>
            </w:pPr>
          </w:p>
        </w:tc>
        <w:tc>
          <w:tcPr>
            <w:tcW w:w="2916" w:type="dxa"/>
            <w:tcBorders>
              <w:top w:val="single" w:color="auto" w:sz="4" w:space="0"/>
              <w:left w:val="nil"/>
              <w:bottom w:val="single" w:color="auto" w:sz="4" w:space="0"/>
              <w:right w:val="single" w:color="auto" w:sz="4" w:space="0"/>
            </w:tcBorders>
            <w:vAlign w:val="center"/>
          </w:tcPr>
          <w:p w14:paraId="4A696A2F">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行政事业单位资产清查开展情况</w:t>
            </w:r>
          </w:p>
        </w:tc>
        <w:tc>
          <w:tcPr>
            <w:tcW w:w="697" w:type="dxa"/>
            <w:tcBorders>
              <w:top w:val="single" w:color="auto" w:sz="4" w:space="0"/>
              <w:left w:val="nil"/>
              <w:bottom w:val="single" w:color="auto" w:sz="4" w:space="0"/>
              <w:right w:val="single" w:color="auto" w:sz="4" w:space="0"/>
            </w:tcBorders>
            <w:vAlign w:val="center"/>
          </w:tcPr>
          <w:p w14:paraId="0E9D6E16">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20770481">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690305BF">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BB6FE55">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752A4FE2">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21A6C7AB">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行政事业单位资产报表上报情况</w:t>
            </w:r>
          </w:p>
        </w:tc>
        <w:tc>
          <w:tcPr>
            <w:tcW w:w="697" w:type="dxa"/>
            <w:tcBorders>
              <w:top w:val="nil"/>
              <w:left w:val="nil"/>
              <w:bottom w:val="single" w:color="auto" w:sz="4" w:space="0"/>
              <w:right w:val="single" w:color="auto" w:sz="4" w:space="0"/>
            </w:tcBorders>
            <w:vAlign w:val="center"/>
          </w:tcPr>
          <w:p w14:paraId="56397EF0">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633F912E">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2FB83A3F">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36A33751">
            <w:pPr>
              <w:widowControl/>
              <w:spacing w:line="260" w:lineRule="exact"/>
              <w:jc w:val="left"/>
              <w:rPr>
                <w:rFonts w:hint="eastAsia" w:ascii="宋体" w:hAnsi="宋体" w:eastAsia="宋体" w:cs="宋体"/>
                <w:bCs/>
                <w:kern w:val="0"/>
                <w:sz w:val="22"/>
                <w:szCs w:val="22"/>
              </w:rPr>
            </w:pPr>
          </w:p>
        </w:tc>
        <w:tc>
          <w:tcPr>
            <w:tcW w:w="2610" w:type="dxa"/>
            <w:tcBorders>
              <w:top w:val="single" w:color="auto" w:sz="4" w:space="0"/>
              <w:left w:val="nil"/>
              <w:bottom w:val="single" w:color="auto" w:sz="4" w:space="0"/>
              <w:right w:val="single" w:color="auto" w:sz="4" w:space="0"/>
            </w:tcBorders>
            <w:vAlign w:val="center"/>
          </w:tcPr>
          <w:p w14:paraId="7ED8DC6B">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内控制度管理（2分）</w:t>
            </w:r>
          </w:p>
        </w:tc>
        <w:tc>
          <w:tcPr>
            <w:tcW w:w="2916" w:type="dxa"/>
            <w:tcBorders>
              <w:top w:val="single" w:color="auto" w:sz="4" w:space="0"/>
              <w:left w:val="nil"/>
              <w:bottom w:val="single" w:color="auto" w:sz="4" w:space="0"/>
              <w:right w:val="single" w:color="auto" w:sz="4" w:space="0"/>
            </w:tcBorders>
            <w:vAlign w:val="center"/>
          </w:tcPr>
          <w:p w14:paraId="178F92A5">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内部控制度健全完整</w:t>
            </w:r>
          </w:p>
        </w:tc>
        <w:tc>
          <w:tcPr>
            <w:tcW w:w="697" w:type="dxa"/>
            <w:tcBorders>
              <w:top w:val="single" w:color="auto" w:sz="4" w:space="0"/>
              <w:left w:val="nil"/>
              <w:bottom w:val="single" w:color="auto" w:sz="4" w:space="0"/>
              <w:right w:val="single" w:color="auto" w:sz="4" w:space="0"/>
            </w:tcBorders>
            <w:vAlign w:val="center"/>
          </w:tcPr>
          <w:p w14:paraId="5222A110">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50A01672">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r>
      <w:tr w14:paraId="57DABA64">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0390023">
            <w:pPr>
              <w:widowControl/>
              <w:spacing w:line="260" w:lineRule="exact"/>
              <w:jc w:val="left"/>
              <w:rPr>
                <w:rFonts w:hint="eastAsia" w:ascii="宋体" w:hAnsi="宋体" w:eastAsia="宋体" w:cs="宋体"/>
                <w:bCs/>
                <w:kern w:val="0"/>
                <w:sz w:val="22"/>
                <w:szCs w:val="22"/>
              </w:rPr>
            </w:pPr>
          </w:p>
        </w:tc>
        <w:tc>
          <w:tcPr>
            <w:tcW w:w="2610" w:type="dxa"/>
            <w:vMerge w:val="restart"/>
            <w:tcBorders>
              <w:top w:val="nil"/>
              <w:left w:val="single" w:color="auto" w:sz="4" w:space="0"/>
              <w:bottom w:val="single" w:color="auto" w:sz="4" w:space="0"/>
              <w:right w:val="single" w:color="auto" w:sz="4" w:space="0"/>
            </w:tcBorders>
            <w:vAlign w:val="center"/>
          </w:tcPr>
          <w:p w14:paraId="6BC02030">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信息公开（6分）</w:t>
            </w:r>
          </w:p>
        </w:tc>
        <w:tc>
          <w:tcPr>
            <w:tcW w:w="2916" w:type="dxa"/>
            <w:tcBorders>
              <w:top w:val="nil"/>
              <w:left w:val="nil"/>
              <w:bottom w:val="single" w:color="auto" w:sz="4" w:space="0"/>
              <w:right w:val="single" w:color="auto" w:sz="4" w:space="0"/>
            </w:tcBorders>
            <w:vAlign w:val="center"/>
          </w:tcPr>
          <w:p w14:paraId="6C0AE752">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预算公开</w:t>
            </w:r>
          </w:p>
        </w:tc>
        <w:tc>
          <w:tcPr>
            <w:tcW w:w="697" w:type="dxa"/>
            <w:tcBorders>
              <w:top w:val="nil"/>
              <w:left w:val="nil"/>
              <w:bottom w:val="single" w:color="auto" w:sz="4" w:space="0"/>
              <w:right w:val="single" w:color="auto" w:sz="4" w:space="0"/>
            </w:tcBorders>
            <w:vAlign w:val="center"/>
          </w:tcPr>
          <w:p w14:paraId="3BD9C545">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15FC5F86">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4B62FE3F">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D9BA372">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3CE40C5D">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71D7B267">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决算公开</w:t>
            </w:r>
          </w:p>
        </w:tc>
        <w:tc>
          <w:tcPr>
            <w:tcW w:w="697" w:type="dxa"/>
            <w:tcBorders>
              <w:top w:val="nil"/>
              <w:left w:val="nil"/>
              <w:bottom w:val="single" w:color="auto" w:sz="4" w:space="0"/>
              <w:right w:val="single" w:color="auto" w:sz="4" w:space="0"/>
            </w:tcBorders>
            <w:vAlign w:val="center"/>
          </w:tcPr>
          <w:p w14:paraId="66264DF3">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51C64D37">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42A21DB5">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3C71186E">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69A31AFB">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004AB83E">
            <w:pPr>
              <w:widowControl/>
              <w:spacing w:line="34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绩效信息公开</w:t>
            </w:r>
          </w:p>
        </w:tc>
        <w:tc>
          <w:tcPr>
            <w:tcW w:w="697" w:type="dxa"/>
            <w:tcBorders>
              <w:top w:val="nil"/>
              <w:left w:val="nil"/>
              <w:bottom w:val="single" w:color="auto" w:sz="4" w:space="0"/>
              <w:right w:val="single" w:color="auto" w:sz="4" w:space="0"/>
            </w:tcBorders>
            <w:vAlign w:val="center"/>
          </w:tcPr>
          <w:p w14:paraId="6CCA333A">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1B38CC28">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0</w:t>
            </w:r>
          </w:p>
        </w:tc>
      </w:tr>
      <w:tr w14:paraId="5D170F67">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166644C8">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033BB303">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绩效评价（10分）</w:t>
            </w:r>
          </w:p>
        </w:tc>
        <w:tc>
          <w:tcPr>
            <w:tcW w:w="2916" w:type="dxa"/>
            <w:tcBorders>
              <w:top w:val="single" w:color="auto" w:sz="4" w:space="0"/>
              <w:left w:val="nil"/>
              <w:bottom w:val="single" w:color="auto" w:sz="4" w:space="0"/>
              <w:right w:val="single" w:color="auto" w:sz="4" w:space="0"/>
            </w:tcBorders>
            <w:vAlign w:val="center"/>
          </w:tcPr>
          <w:p w14:paraId="310C57E1">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评价项目覆盖率</w:t>
            </w:r>
          </w:p>
        </w:tc>
        <w:tc>
          <w:tcPr>
            <w:tcW w:w="697" w:type="dxa"/>
            <w:tcBorders>
              <w:top w:val="single" w:color="auto" w:sz="4" w:space="0"/>
              <w:left w:val="nil"/>
              <w:bottom w:val="single" w:color="auto" w:sz="4" w:space="0"/>
              <w:right w:val="single" w:color="auto" w:sz="4" w:space="0"/>
            </w:tcBorders>
            <w:vAlign w:val="center"/>
          </w:tcPr>
          <w:p w14:paraId="600404E3">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restart"/>
            <w:tcBorders>
              <w:top w:val="single" w:color="auto" w:sz="4" w:space="0"/>
              <w:left w:val="nil"/>
              <w:right w:val="single" w:color="auto" w:sz="4" w:space="0"/>
            </w:tcBorders>
            <w:vAlign w:val="center"/>
          </w:tcPr>
          <w:p w14:paraId="2F7E0853">
            <w:pPr>
              <w:widowControl/>
              <w:jc w:val="center"/>
              <w:textAlignment w:val="center"/>
              <w:rPr>
                <w:rFonts w:hint="eastAsia" w:ascii="宋体" w:hAnsi="宋体" w:eastAsia="宋体" w:cs="宋体"/>
                <w:bCs/>
                <w:color w:val="000000"/>
                <w:kern w:val="0"/>
                <w:sz w:val="22"/>
                <w:szCs w:val="22"/>
                <w:lang w:bidi="ar"/>
              </w:rPr>
            </w:pPr>
          </w:p>
          <w:p w14:paraId="3BE490AF">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p w14:paraId="453930D0">
            <w:pPr>
              <w:widowControl/>
              <w:jc w:val="center"/>
              <w:textAlignment w:val="center"/>
              <w:rPr>
                <w:rFonts w:hint="eastAsia" w:ascii="宋体" w:hAnsi="宋体" w:eastAsia="宋体" w:cs="宋体"/>
                <w:bCs/>
                <w:kern w:val="0"/>
                <w:sz w:val="22"/>
                <w:szCs w:val="22"/>
              </w:rPr>
            </w:pPr>
          </w:p>
        </w:tc>
      </w:tr>
      <w:tr w14:paraId="1B926C98">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1BFD4439">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4F54FABA">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693360E9">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评价层次</w:t>
            </w:r>
          </w:p>
        </w:tc>
        <w:tc>
          <w:tcPr>
            <w:tcW w:w="697" w:type="dxa"/>
            <w:tcBorders>
              <w:top w:val="nil"/>
              <w:left w:val="nil"/>
              <w:bottom w:val="single" w:color="auto" w:sz="4" w:space="0"/>
              <w:right w:val="single" w:color="auto" w:sz="4" w:space="0"/>
            </w:tcBorders>
            <w:vAlign w:val="center"/>
          </w:tcPr>
          <w:p w14:paraId="24EF0B22">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continue"/>
            <w:tcBorders>
              <w:left w:val="nil"/>
              <w:right w:val="single" w:color="auto" w:sz="4" w:space="0"/>
            </w:tcBorders>
            <w:vAlign w:val="center"/>
          </w:tcPr>
          <w:p w14:paraId="546C6ACA">
            <w:pPr>
              <w:widowControl/>
              <w:jc w:val="center"/>
              <w:textAlignment w:val="center"/>
              <w:rPr>
                <w:rFonts w:hint="eastAsia" w:ascii="宋体" w:hAnsi="宋体" w:eastAsia="宋体" w:cs="宋体"/>
                <w:bCs/>
                <w:kern w:val="0"/>
                <w:sz w:val="22"/>
                <w:szCs w:val="22"/>
              </w:rPr>
            </w:pPr>
          </w:p>
        </w:tc>
      </w:tr>
      <w:tr w14:paraId="5851C64D">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0C4659F7">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08A2D622">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13276085">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评价结果报告</w:t>
            </w:r>
          </w:p>
        </w:tc>
        <w:tc>
          <w:tcPr>
            <w:tcW w:w="697" w:type="dxa"/>
            <w:tcBorders>
              <w:top w:val="nil"/>
              <w:left w:val="nil"/>
              <w:bottom w:val="single" w:color="auto" w:sz="4" w:space="0"/>
              <w:right w:val="single" w:color="auto" w:sz="4" w:space="0"/>
            </w:tcBorders>
            <w:vAlign w:val="center"/>
          </w:tcPr>
          <w:p w14:paraId="7201D40B">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vMerge w:val="continue"/>
            <w:tcBorders>
              <w:left w:val="nil"/>
              <w:right w:val="single" w:color="auto" w:sz="4" w:space="0"/>
            </w:tcBorders>
            <w:vAlign w:val="center"/>
          </w:tcPr>
          <w:p w14:paraId="0C026E43">
            <w:pPr>
              <w:widowControl/>
              <w:jc w:val="center"/>
              <w:textAlignment w:val="center"/>
              <w:rPr>
                <w:rFonts w:hint="eastAsia" w:ascii="宋体" w:hAnsi="宋体" w:eastAsia="宋体" w:cs="宋体"/>
                <w:bCs/>
                <w:kern w:val="0"/>
                <w:sz w:val="22"/>
                <w:szCs w:val="22"/>
              </w:rPr>
            </w:pPr>
          </w:p>
        </w:tc>
      </w:tr>
      <w:tr w14:paraId="3FCA8DA9">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5C3570C4">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50AF0999">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64915C61">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整改完成率</w:t>
            </w:r>
          </w:p>
        </w:tc>
        <w:tc>
          <w:tcPr>
            <w:tcW w:w="697" w:type="dxa"/>
            <w:tcBorders>
              <w:top w:val="nil"/>
              <w:left w:val="nil"/>
              <w:bottom w:val="single" w:color="auto" w:sz="4" w:space="0"/>
              <w:right w:val="single" w:color="auto" w:sz="4" w:space="0"/>
            </w:tcBorders>
            <w:vAlign w:val="center"/>
          </w:tcPr>
          <w:p w14:paraId="4E7BEC55">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4</w:t>
            </w:r>
          </w:p>
        </w:tc>
        <w:tc>
          <w:tcPr>
            <w:tcW w:w="1091" w:type="dxa"/>
            <w:vMerge w:val="continue"/>
            <w:tcBorders>
              <w:left w:val="nil"/>
              <w:bottom w:val="single" w:color="auto" w:sz="4" w:space="0"/>
              <w:right w:val="single" w:color="auto" w:sz="4" w:space="0"/>
            </w:tcBorders>
            <w:vAlign w:val="center"/>
          </w:tcPr>
          <w:p w14:paraId="7FA57F91">
            <w:pPr>
              <w:widowControl/>
              <w:jc w:val="center"/>
              <w:textAlignment w:val="center"/>
              <w:rPr>
                <w:rFonts w:hint="eastAsia" w:ascii="宋体" w:hAnsi="宋体" w:eastAsia="宋体" w:cs="宋体"/>
                <w:bCs/>
                <w:kern w:val="0"/>
                <w:sz w:val="22"/>
                <w:szCs w:val="22"/>
              </w:rPr>
            </w:pPr>
          </w:p>
        </w:tc>
      </w:tr>
      <w:tr w14:paraId="6747D449">
        <w:tblPrEx>
          <w:tblCellMar>
            <w:top w:w="0" w:type="dxa"/>
            <w:left w:w="108" w:type="dxa"/>
            <w:bottom w:w="0" w:type="dxa"/>
            <w:right w:w="108" w:type="dxa"/>
          </w:tblCellMar>
        </w:tblPrEx>
        <w:trPr>
          <w:trHeight w:val="612" w:hRule="atLeast"/>
        </w:trPr>
        <w:tc>
          <w:tcPr>
            <w:tcW w:w="1536" w:type="dxa"/>
            <w:vMerge w:val="continue"/>
            <w:tcBorders>
              <w:top w:val="single" w:color="auto" w:sz="4" w:space="0"/>
              <w:left w:val="single" w:color="auto" w:sz="4" w:space="0"/>
              <w:bottom w:val="single" w:color="auto" w:sz="4" w:space="0"/>
              <w:right w:val="single" w:color="auto" w:sz="4" w:space="0"/>
            </w:tcBorders>
            <w:vAlign w:val="center"/>
          </w:tcPr>
          <w:p w14:paraId="5F8C798C">
            <w:pPr>
              <w:widowControl/>
              <w:spacing w:line="260" w:lineRule="exact"/>
              <w:jc w:val="left"/>
              <w:rPr>
                <w:rFonts w:hint="eastAsia" w:ascii="宋体" w:hAnsi="宋体" w:eastAsia="宋体" w:cs="宋体"/>
                <w:bCs/>
                <w:kern w:val="0"/>
                <w:sz w:val="22"/>
                <w:szCs w:val="22"/>
              </w:rPr>
            </w:pPr>
          </w:p>
        </w:tc>
        <w:tc>
          <w:tcPr>
            <w:tcW w:w="2610" w:type="dxa"/>
            <w:vMerge w:val="restart"/>
            <w:tcBorders>
              <w:top w:val="single" w:color="auto" w:sz="4" w:space="0"/>
              <w:left w:val="single" w:color="auto" w:sz="4" w:space="0"/>
              <w:bottom w:val="single" w:color="auto" w:sz="4" w:space="0"/>
              <w:right w:val="single" w:color="auto" w:sz="4" w:space="0"/>
            </w:tcBorders>
            <w:vAlign w:val="center"/>
          </w:tcPr>
          <w:p w14:paraId="78BDE18F">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依法接受财政监督（6分）</w:t>
            </w:r>
          </w:p>
        </w:tc>
        <w:tc>
          <w:tcPr>
            <w:tcW w:w="2916" w:type="dxa"/>
            <w:tcBorders>
              <w:top w:val="single" w:color="auto" w:sz="4" w:space="0"/>
              <w:left w:val="nil"/>
              <w:bottom w:val="single" w:color="auto" w:sz="4" w:space="0"/>
              <w:right w:val="single" w:color="auto" w:sz="4" w:space="0"/>
            </w:tcBorders>
          </w:tcPr>
          <w:p w14:paraId="3692EF5A">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是否按要求开展自查自纠</w:t>
            </w:r>
          </w:p>
        </w:tc>
        <w:tc>
          <w:tcPr>
            <w:tcW w:w="697" w:type="dxa"/>
            <w:tcBorders>
              <w:top w:val="single" w:color="auto" w:sz="4" w:space="0"/>
              <w:left w:val="nil"/>
              <w:bottom w:val="single" w:color="auto" w:sz="4" w:space="0"/>
              <w:right w:val="single" w:color="auto" w:sz="4" w:space="0"/>
            </w:tcBorders>
            <w:vAlign w:val="center"/>
          </w:tcPr>
          <w:p w14:paraId="6E07A05E">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single" w:color="auto" w:sz="4" w:space="0"/>
              <w:left w:val="nil"/>
              <w:bottom w:val="single" w:color="auto" w:sz="4" w:space="0"/>
              <w:right w:val="single" w:color="auto" w:sz="4" w:space="0"/>
            </w:tcBorders>
            <w:vAlign w:val="center"/>
          </w:tcPr>
          <w:p w14:paraId="6D519EAE">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13936ADB">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02D1837A">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03F731D5">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3EA0E2B5">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重点检查发现违规违纪问题</w:t>
            </w:r>
          </w:p>
        </w:tc>
        <w:tc>
          <w:tcPr>
            <w:tcW w:w="697" w:type="dxa"/>
            <w:tcBorders>
              <w:top w:val="nil"/>
              <w:left w:val="nil"/>
              <w:bottom w:val="single" w:color="auto" w:sz="4" w:space="0"/>
              <w:right w:val="single" w:color="auto" w:sz="4" w:space="0"/>
            </w:tcBorders>
            <w:vAlign w:val="center"/>
          </w:tcPr>
          <w:p w14:paraId="79CAB9FF">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506D5291">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0.5</w:t>
            </w:r>
          </w:p>
        </w:tc>
      </w:tr>
      <w:tr w14:paraId="3F11668D">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269EB46B">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68630C31">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046B0701">
            <w:pPr>
              <w:widowControl/>
              <w:spacing w:line="260" w:lineRule="exact"/>
              <w:rPr>
                <w:rFonts w:hint="eastAsia" w:ascii="宋体" w:hAnsi="宋体" w:eastAsia="宋体" w:cs="宋体"/>
                <w:bCs/>
                <w:kern w:val="0"/>
                <w:sz w:val="22"/>
                <w:szCs w:val="22"/>
              </w:rPr>
            </w:pPr>
            <w:r>
              <w:rPr>
                <w:rFonts w:hint="eastAsia" w:ascii="宋体" w:hAnsi="宋体" w:eastAsia="宋体" w:cs="宋体"/>
                <w:bCs/>
                <w:kern w:val="0"/>
                <w:sz w:val="22"/>
                <w:szCs w:val="22"/>
              </w:rPr>
              <w:t>存在问题整改是否到位</w:t>
            </w:r>
          </w:p>
        </w:tc>
        <w:tc>
          <w:tcPr>
            <w:tcW w:w="697" w:type="dxa"/>
            <w:tcBorders>
              <w:top w:val="nil"/>
              <w:left w:val="nil"/>
              <w:bottom w:val="single" w:color="auto" w:sz="4" w:space="0"/>
              <w:right w:val="single" w:color="auto" w:sz="4" w:space="0"/>
            </w:tcBorders>
            <w:vAlign w:val="center"/>
          </w:tcPr>
          <w:p w14:paraId="5507417B">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w:t>
            </w:r>
          </w:p>
        </w:tc>
        <w:tc>
          <w:tcPr>
            <w:tcW w:w="1091" w:type="dxa"/>
            <w:tcBorders>
              <w:top w:val="nil"/>
              <w:left w:val="nil"/>
              <w:bottom w:val="single" w:color="auto" w:sz="4" w:space="0"/>
              <w:right w:val="single" w:color="auto" w:sz="4" w:space="0"/>
            </w:tcBorders>
            <w:vAlign w:val="center"/>
          </w:tcPr>
          <w:p w14:paraId="5999B56A">
            <w:pPr>
              <w:widowControl/>
              <w:jc w:val="center"/>
              <w:textAlignment w:val="center"/>
              <w:rPr>
                <w:rFonts w:hint="eastAsia" w:ascii="宋体" w:hAnsi="宋体" w:eastAsia="宋体" w:cs="宋体"/>
                <w:bCs/>
                <w:kern w:val="0"/>
                <w:sz w:val="22"/>
                <w:szCs w:val="22"/>
              </w:rPr>
            </w:pPr>
            <w:r>
              <w:rPr>
                <w:rFonts w:hint="eastAsia" w:ascii="宋体" w:hAnsi="宋体" w:eastAsia="宋体" w:cs="宋体"/>
                <w:bCs/>
                <w:color w:val="000000"/>
                <w:kern w:val="0"/>
                <w:sz w:val="22"/>
                <w:szCs w:val="22"/>
                <w:lang w:bidi="ar"/>
              </w:rPr>
              <w:t>2</w:t>
            </w:r>
          </w:p>
        </w:tc>
      </w:tr>
      <w:tr w14:paraId="08ED8667">
        <w:tblPrEx>
          <w:tblCellMar>
            <w:top w:w="0" w:type="dxa"/>
            <w:left w:w="108" w:type="dxa"/>
            <w:bottom w:w="0" w:type="dxa"/>
            <w:right w:w="108" w:type="dxa"/>
          </w:tblCellMar>
        </w:tblPrEx>
        <w:trPr>
          <w:trHeight w:val="612" w:hRule="atLeast"/>
        </w:trPr>
        <w:tc>
          <w:tcPr>
            <w:tcW w:w="1536" w:type="dxa"/>
            <w:vMerge w:val="restart"/>
            <w:tcBorders>
              <w:top w:val="nil"/>
              <w:left w:val="single" w:color="auto" w:sz="4" w:space="0"/>
              <w:bottom w:val="single" w:color="auto" w:sz="4" w:space="0"/>
              <w:right w:val="single" w:color="auto" w:sz="4" w:space="0"/>
            </w:tcBorders>
            <w:vAlign w:val="center"/>
          </w:tcPr>
          <w:p w14:paraId="20CD1BAF">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整体效益（30分）</w:t>
            </w:r>
          </w:p>
        </w:tc>
        <w:tc>
          <w:tcPr>
            <w:tcW w:w="2610" w:type="dxa"/>
            <w:vMerge w:val="restart"/>
            <w:tcBorders>
              <w:top w:val="nil"/>
              <w:left w:val="single" w:color="auto" w:sz="4" w:space="0"/>
              <w:bottom w:val="single" w:color="auto" w:sz="4" w:space="0"/>
              <w:right w:val="single" w:color="auto" w:sz="4" w:space="0"/>
            </w:tcBorders>
            <w:vAlign w:val="center"/>
          </w:tcPr>
          <w:p w14:paraId="7C0FCE6C">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部门整体绩效（30分）</w:t>
            </w:r>
          </w:p>
        </w:tc>
        <w:tc>
          <w:tcPr>
            <w:tcW w:w="2916" w:type="dxa"/>
            <w:tcBorders>
              <w:top w:val="nil"/>
              <w:left w:val="nil"/>
              <w:bottom w:val="single" w:color="auto" w:sz="4" w:space="0"/>
              <w:right w:val="single" w:color="auto" w:sz="4" w:space="0"/>
            </w:tcBorders>
            <w:vAlign w:val="center"/>
          </w:tcPr>
          <w:p w14:paraId="1010AEE5">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重点项目绩效评价结果</w:t>
            </w:r>
          </w:p>
        </w:tc>
        <w:tc>
          <w:tcPr>
            <w:tcW w:w="697" w:type="dxa"/>
            <w:tcBorders>
              <w:top w:val="nil"/>
              <w:left w:val="nil"/>
              <w:bottom w:val="single" w:color="auto" w:sz="4" w:space="0"/>
              <w:right w:val="single" w:color="auto" w:sz="4" w:space="0"/>
            </w:tcBorders>
            <w:vAlign w:val="center"/>
          </w:tcPr>
          <w:p w14:paraId="046EC4FB">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tc>
        <w:tc>
          <w:tcPr>
            <w:tcW w:w="1091" w:type="dxa"/>
            <w:tcBorders>
              <w:top w:val="nil"/>
              <w:left w:val="nil"/>
              <w:bottom w:val="single" w:color="auto" w:sz="4" w:space="0"/>
              <w:right w:val="single" w:color="auto" w:sz="4" w:space="0"/>
            </w:tcBorders>
            <w:vAlign w:val="center"/>
          </w:tcPr>
          <w:p w14:paraId="5B3C7116">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10</w:t>
            </w:r>
          </w:p>
        </w:tc>
      </w:tr>
      <w:tr w14:paraId="78AD1F7F">
        <w:tblPrEx>
          <w:tblCellMar>
            <w:top w:w="0" w:type="dxa"/>
            <w:left w:w="108" w:type="dxa"/>
            <w:bottom w:w="0" w:type="dxa"/>
            <w:right w:w="108" w:type="dxa"/>
          </w:tblCellMar>
        </w:tblPrEx>
        <w:trPr>
          <w:trHeight w:val="612" w:hRule="atLeast"/>
        </w:trPr>
        <w:tc>
          <w:tcPr>
            <w:tcW w:w="1536" w:type="dxa"/>
            <w:vMerge w:val="continue"/>
            <w:tcBorders>
              <w:top w:val="nil"/>
              <w:left w:val="single" w:color="auto" w:sz="4" w:space="0"/>
              <w:bottom w:val="single" w:color="auto" w:sz="4" w:space="0"/>
              <w:right w:val="single" w:color="auto" w:sz="4" w:space="0"/>
            </w:tcBorders>
            <w:vAlign w:val="center"/>
          </w:tcPr>
          <w:p w14:paraId="4DCE2CAB">
            <w:pPr>
              <w:widowControl/>
              <w:spacing w:line="260" w:lineRule="exact"/>
              <w:jc w:val="left"/>
              <w:rPr>
                <w:rFonts w:hint="eastAsia" w:ascii="宋体" w:hAnsi="宋体" w:eastAsia="宋体" w:cs="宋体"/>
                <w:bCs/>
                <w:kern w:val="0"/>
                <w:sz w:val="22"/>
                <w:szCs w:val="22"/>
              </w:rPr>
            </w:pPr>
          </w:p>
        </w:tc>
        <w:tc>
          <w:tcPr>
            <w:tcW w:w="2610" w:type="dxa"/>
            <w:vMerge w:val="continue"/>
            <w:tcBorders>
              <w:top w:val="nil"/>
              <w:left w:val="single" w:color="auto" w:sz="4" w:space="0"/>
              <w:bottom w:val="single" w:color="auto" w:sz="4" w:space="0"/>
              <w:right w:val="single" w:color="auto" w:sz="4" w:space="0"/>
            </w:tcBorders>
            <w:vAlign w:val="center"/>
          </w:tcPr>
          <w:p w14:paraId="27595FFB">
            <w:pPr>
              <w:widowControl/>
              <w:spacing w:line="260" w:lineRule="exact"/>
              <w:jc w:val="left"/>
              <w:rPr>
                <w:rFonts w:hint="eastAsia" w:ascii="宋体" w:hAnsi="宋体" w:eastAsia="宋体" w:cs="宋体"/>
                <w:bCs/>
                <w:kern w:val="0"/>
                <w:sz w:val="22"/>
                <w:szCs w:val="22"/>
              </w:rPr>
            </w:pPr>
          </w:p>
        </w:tc>
        <w:tc>
          <w:tcPr>
            <w:tcW w:w="2916" w:type="dxa"/>
            <w:tcBorders>
              <w:top w:val="nil"/>
              <w:left w:val="nil"/>
              <w:bottom w:val="single" w:color="auto" w:sz="4" w:space="0"/>
              <w:right w:val="single" w:color="auto" w:sz="4" w:space="0"/>
            </w:tcBorders>
            <w:vAlign w:val="center"/>
          </w:tcPr>
          <w:p w14:paraId="6677D16F">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部门职能完成情况特性指标</w:t>
            </w:r>
          </w:p>
        </w:tc>
        <w:tc>
          <w:tcPr>
            <w:tcW w:w="697" w:type="dxa"/>
            <w:tcBorders>
              <w:top w:val="nil"/>
              <w:left w:val="nil"/>
              <w:bottom w:val="single" w:color="auto" w:sz="4" w:space="0"/>
              <w:right w:val="single" w:color="auto" w:sz="4" w:space="0"/>
            </w:tcBorders>
            <w:vAlign w:val="center"/>
          </w:tcPr>
          <w:p w14:paraId="687F3984">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20</w:t>
            </w:r>
          </w:p>
        </w:tc>
        <w:tc>
          <w:tcPr>
            <w:tcW w:w="1091" w:type="dxa"/>
            <w:tcBorders>
              <w:top w:val="nil"/>
              <w:left w:val="nil"/>
              <w:bottom w:val="single" w:color="auto" w:sz="4" w:space="0"/>
              <w:right w:val="single" w:color="auto" w:sz="4" w:space="0"/>
            </w:tcBorders>
            <w:vAlign w:val="center"/>
          </w:tcPr>
          <w:p w14:paraId="05B500A8">
            <w:pPr>
              <w:widowControl/>
              <w:jc w:val="center"/>
              <w:textAlignment w:val="center"/>
              <w:rPr>
                <w:rFonts w:hint="eastAsia" w:ascii="宋体" w:hAnsi="宋体" w:eastAsia="宋体" w:cs="宋体"/>
                <w:bCs/>
                <w:kern w:val="0"/>
                <w:sz w:val="22"/>
                <w:szCs w:val="22"/>
              </w:rPr>
            </w:pPr>
            <w:r>
              <w:rPr>
                <w:rFonts w:hint="eastAsia" w:ascii="宋体" w:hAnsi="宋体" w:eastAsia="宋体" w:cs="宋体"/>
                <w:bCs/>
                <w:kern w:val="0"/>
                <w:sz w:val="22"/>
                <w:szCs w:val="22"/>
              </w:rPr>
              <w:t>17</w:t>
            </w:r>
          </w:p>
        </w:tc>
      </w:tr>
      <w:tr w14:paraId="4AC6271A">
        <w:tblPrEx>
          <w:tblCellMar>
            <w:top w:w="0" w:type="dxa"/>
            <w:left w:w="108" w:type="dxa"/>
            <w:bottom w:w="0" w:type="dxa"/>
            <w:right w:w="108" w:type="dxa"/>
          </w:tblCellMar>
        </w:tblPrEx>
        <w:trPr>
          <w:trHeight w:val="612" w:hRule="atLeast"/>
        </w:trPr>
        <w:tc>
          <w:tcPr>
            <w:tcW w:w="4146" w:type="dxa"/>
            <w:gridSpan w:val="2"/>
            <w:tcBorders>
              <w:top w:val="single" w:color="auto" w:sz="4" w:space="0"/>
              <w:left w:val="single" w:color="auto" w:sz="4" w:space="0"/>
              <w:bottom w:val="single" w:color="auto" w:sz="4" w:space="0"/>
              <w:right w:val="single" w:color="auto" w:sz="4" w:space="0"/>
            </w:tcBorders>
            <w:vAlign w:val="center"/>
          </w:tcPr>
          <w:p w14:paraId="1CF8382C">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不存在的评价内容或指标评分</w:t>
            </w:r>
          </w:p>
        </w:tc>
        <w:tc>
          <w:tcPr>
            <w:tcW w:w="2916" w:type="dxa"/>
            <w:tcBorders>
              <w:top w:val="nil"/>
              <w:left w:val="nil"/>
              <w:bottom w:val="single" w:color="auto" w:sz="4" w:space="0"/>
              <w:right w:val="single" w:color="auto" w:sz="4" w:space="0"/>
            </w:tcBorders>
            <w:vAlign w:val="center"/>
          </w:tcPr>
          <w:p w14:paraId="51FBA1F1">
            <w:pPr>
              <w:widowControl/>
              <w:spacing w:line="260" w:lineRule="exact"/>
              <w:jc w:val="left"/>
              <w:rPr>
                <w:rFonts w:hint="eastAsia" w:ascii="宋体" w:hAnsi="宋体" w:eastAsia="宋体" w:cs="宋体"/>
                <w:bCs/>
                <w:kern w:val="0"/>
                <w:sz w:val="22"/>
                <w:szCs w:val="22"/>
              </w:rPr>
            </w:pPr>
            <w:r>
              <w:rPr>
                <w:rFonts w:hint="eastAsia" w:ascii="宋体" w:hAnsi="宋体" w:eastAsia="宋体" w:cs="宋体"/>
                <w:bCs/>
                <w:kern w:val="0"/>
                <w:sz w:val="22"/>
                <w:szCs w:val="22"/>
              </w:rPr>
              <w:t xml:space="preserve"> </w:t>
            </w:r>
          </w:p>
        </w:tc>
        <w:tc>
          <w:tcPr>
            <w:tcW w:w="697" w:type="dxa"/>
            <w:tcBorders>
              <w:top w:val="nil"/>
              <w:left w:val="nil"/>
              <w:bottom w:val="single" w:color="auto" w:sz="4" w:space="0"/>
              <w:right w:val="single" w:color="auto" w:sz="4" w:space="0"/>
            </w:tcBorders>
            <w:vAlign w:val="center"/>
          </w:tcPr>
          <w:p w14:paraId="7F542301">
            <w:pPr>
              <w:widowControl/>
              <w:spacing w:line="260" w:lineRule="exact"/>
              <w:jc w:val="center"/>
              <w:rPr>
                <w:rFonts w:hint="eastAsia" w:ascii="宋体" w:hAnsi="宋体" w:eastAsia="宋体" w:cs="宋体"/>
                <w:bCs/>
                <w:kern w:val="0"/>
                <w:sz w:val="22"/>
                <w:szCs w:val="22"/>
              </w:rPr>
            </w:pPr>
          </w:p>
        </w:tc>
        <w:tc>
          <w:tcPr>
            <w:tcW w:w="1091" w:type="dxa"/>
            <w:tcBorders>
              <w:top w:val="nil"/>
              <w:left w:val="nil"/>
              <w:bottom w:val="single" w:color="auto" w:sz="4" w:space="0"/>
              <w:right w:val="single" w:color="auto" w:sz="4" w:space="0"/>
            </w:tcBorders>
            <w:vAlign w:val="center"/>
          </w:tcPr>
          <w:p w14:paraId="3C52B17E">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16</w:t>
            </w:r>
          </w:p>
        </w:tc>
      </w:tr>
      <w:tr w14:paraId="3B6F61E8">
        <w:tblPrEx>
          <w:tblCellMar>
            <w:top w:w="0" w:type="dxa"/>
            <w:left w:w="108" w:type="dxa"/>
            <w:bottom w:w="0" w:type="dxa"/>
            <w:right w:w="108" w:type="dxa"/>
          </w:tblCellMar>
        </w:tblPrEx>
        <w:trPr>
          <w:trHeight w:val="612" w:hRule="atLeast"/>
        </w:trPr>
        <w:tc>
          <w:tcPr>
            <w:tcW w:w="7062" w:type="dxa"/>
            <w:gridSpan w:val="3"/>
            <w:tcBorders>
              <w:top w:val="single" w:color="auto" w:sz="4" w:space="0"/>
              <w:left w:val="single" w:color="auto" w:sz="4" w:space="0"/>
              <w:bottom w:val="single" w:color="auto" w:sz="4" w:space="0"/>
              <w:right w:val="single" w:color="auto" w:sz="4" w:space="0"/>
            </w:tcBorders>
            <w:vAlign w:val="center"/>
          </w:tcPr>
          <w:p w14:paraId="44C8B4CD">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合计</w:t>
            </w:r>
          </w:p>
        </w:tc>
        <w:tc>
          <w:tcPr>
            <w:tcW w:w="697" w:type="dxa"/>
            <w:tcBorders>
              <w:top w:val="nil"/>
              <w:left w:val="nil"/>
              <w:bottom w:val="single" w:color="auto" w:sz="4" w:space="0"/>
              <w:right w:val="single" w:color="auto" w:sz="4" w:space="0"/>
            </w:tcBorders>
            <w:vAlign w:val="center"/>
          </w:tcPr>
          <w:p w14:paraId="6DA474F1">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100</w:t>
            </w:r>
          </w:p>
        </w:tc>
        <w:tc>
          <w:tcPr>
            <w:tcW w:w="1091" w:type="dxa"/>
            <w:tcBorders>
              <w:top w:val="nil"/>
              <w:left w:val="nil"/>
              <w:bottom w:val="single" w:color="auto" w:sz="4" w:space="0"/>
              <w:right w:val="single" w:color="auto" w:sz="4" w:space="0"/>
            </w:tcBorders>
            <w:vAlign w:val="center"/>
          </w:tcPr>
          <w:p w14:paraId="62020CD2">
            <w:pPr>
              <w:widowControl/>
              <w:spacing w:line="260" w:lineRule="exact"/>
              <w:jc w:val="center"/>
              <w:rPr>
                <w:rFonts w:hint="eastAsia" w:ascii="宋体" w:hAnsi="宋体" w:eastAsia="宋体" w:cs="宋体"/>
                <w:bCs/>
                <w:kern w:val="0"/>
                <w:sz w:val="22"/>
                <w:szCs w:val="22"/>
              </w:rPr>
            </w:pPr>
            <w:r>
              <w:rPr>
                <w:rFonts w:hint="eastAsia" w:ascii="宋体" w:hAnsi="宋体" w:eastAsia="宋体" w:cs="宋体"/>
                <w:bCs/>
                <w:kern w:val="0"/>
                <w:sz w:val="22"/>
                <w:szCs w:val="22"/>
              </w:rPr>
              <w:t>93.11</w:t>
            </w:r>
          </w:p>
        </w:tc>
      </w:tr>
      <w:tr w14:paraId="6F1B66DA">
        <w:tblPrEx>
          <w:tblCellMar>
            <w:top w:w="0" w:type="dxa"/>
            <w:left w:w="108" w:type="dxa"/>
            <w:bottom w:w="0" w:type="dxa"/>
            <w:right w:w="108" w:type="dxa"/>
          </w:tblCellMar>
        </w:tblPrEx>
        <w:trPr>
          <w:trHeight w:val="612" w:hRule="atLeast"/>
        </w:trPr>
        <w:tc>
          <w:tcPr>
            <w:tcW w:w="8850" w:type="dxa"/>
            <w:gridSpan w:val="5"/>
            <w:tcBorders>
              <w:top w:val="nil"/>
              <w:left w:val="nil"/>
              <w:bottom w:val="nil"/>
              <w:right w:val="nil"/>
            </w:tcBorders>
            <w:vAlign w:val="center"/>
          </w:tcPr>
          <w:p w14:paraId="50F475A0">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bCs/>
                <w:kern w:val="0"/>
                <w:sz w:val="22"/>
                <w:szCs w:val="22"/>
              </w:rPr>
            </w:pPr>
            <w:r>
              <w:rPr>
                <w:rFonts w:hint="eastAsia" w:ascii="宋体" w:hAnsi="宋体" w:eastAsia="宋体" w:cs="宋体"/>
                <w:bCs/>
                <w:kern w:val="0"/>
                <w:sz w:val="22"/>
                <w:szCs w:val="22"/>
              </w:rPr>
              <w:t>注：若某部门不存在某项评价内容或评价指标，则该评价内容或评价指标不计入该部门考核评价范围，即该部门评价总分＝不含该评价内容或指标的评价总分/（100-该评价内容或指标所占分值）*100。</w:t>
            </w:r>
          </w:p>
        </w:tc>
      </w:tr>
    </w:tbl>
    <w:p w14:paraId="3E3CA7A2">
      <w:pPr>
        <w:spacing w:line="600" w:lineRule="atLeast"/>
        <w:ind w:firstLine="643" w:firstLineChars="200"/>
        <w:rPr>
          <w:rFonts w:hint="eastAsia" w:ascii="Times New Roman" w:hAnsi="Times New Roman" w:eastAsia="楷体_GB2312" w:cs="楷体_GB2312"/>
          <w:bCs/>
          <w:sz w:val="32"/>
          <w:szCs w:val="32"/>
        </w:rPr>
      </w:pPr>
      <w:bookmarkStart w:id="0" w:name="OLE_LINK29"/>
      <w:bookmarkStart w:id="1" w:name="OLE_LINK16"/>
      <w:bookmarkStart w:id="2" w:name="OLE_LINK19"/>
      <w:bookmarkStart w:id="3" w:name="OLE_LINK27"/>
      <w:bookmarkStart w:id="4" w:name="OLE_LINK32"/>
      <w:bookmarkStart w:id="5" w:name="OLE_LINK10"/>
      <w:bookmarkStart w:id="6" w:name="OLE_LINK8"/>
      <w:bookmarkStart w:id="7" w:name="OLE_LINK3"/>
      <w:bookmarkStart w:id="8" w:name="OLE_LINK28"/>
      <w:bookmarkStart w:id="9" w:name="OLE_LINK2"/>
      <w:bookmarkStart w:id="10" w:name="OLE_LINK25"/>
      <w:bookmarkStart w:id="11" w:name="OLE_LINK15"/>
      <w:bookmarkStart w:id="12" w:name="OLE_LINK26"/>
      <w:bookmarkStart w:id="13" w:name="OLE_LINK7"/>
      <w:bookmarkStart w:id="14" w:name="OLE_LINK23"/>
      <w:bookmarkStart w:id="15" w:name="OLE_LINK22"/>
      <w:bookmarkStart w:id="16" w:name="OLE_LINK24"/>
      <w:bookmarkStart w:id="17" w:name="OLE_LINK18"/>
      <w:bookmarkStart w:id="18" w:name="OLE_LINK20"/>
      <w:bookmarkStart w:id="19" w:name="OLE_LINK13"/>
      <w:bookmarkStart w:id="20" w:name="OLE_LINK11"/>
      <w:bookmarkStart w:id="21" w:name="OLE_LINK4"/>
      <w:bookmarkStart w:id="22" w:name="OLE_LINK14"/>
      <w:bookmarkStart w:id="23" w:name="OLE_LINK9"/>
      <w:bookmarkStart w:id="24" w:name="OLE_LINK5"/>
      <w:bookmarkStart w:id="25" w:name="OLE_LINK12"/>
      <w:bookmarkStart w:id="26" w:name="OLE_LINK6"/>
      <w:bookmarkStart w:id="27" w:name="OLE_LINK17"/>
      <w:bookmarkStart w:id="28" w:name="OLE_LINK31"/>
      <w:bookmarkStart w:id="29" w:name="OLE_LINK1"/>
      <w:bookmarkStart w:id="30" w:name="OLE_LINK30"/>
      <w:bookmarkStart w:id="31" w:name="OLE_LINK21"/>
      <w:r>
        <w:rPr>
          <w:rFonts w:hint="eastAsia" w:ascii="Times New Roman" w:hAnsi="Times New Roman" w:eastAsia="楷体_GB2312" w:cs="楷体_GB2312"/>
          <w:b/>
          <w:sz w:val="32"/>
          <w:szCs w:val="32"/>
        </w:rPr>
        <w:t>（二）存在问题</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C857BDE">
      <w:pPr>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1.预算执行方面</w:t>
      </w:r>
    </w:p>
    <w:p w14:paraId="3C48C50F">
      <w:pPr>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行政成本方面</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三公经费中，科学技术协会的公务用车均未使用里程数管理。</w:t>
      </w:r>
    </w:p>
    <w:p w14:paraId="7B81FF66">
      <w:pPr>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综合管理方面</w:t>
      </w:r>
    </w:p>
    <w:p w14:paraId="5BCFA4E6">
      <w:pPr>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财务核算</w:t>
      </w:r>
      <w:r>
        <w:rPr>
          <w:rFonts w:hint="eastAsia" w:ascii="Times New Roman" w:hAnsi="Times New Roman" w:eastAsia="仿宋_GB2312" w:cs="仿宋_GB2312"/>
          <w:sz w:val="32"/>
          <w:szCs w:val="32"/>
        </w:rPr>
        <w:t>方面。根据现场查阅凭证，发现科学技术协会如下财务问题：</w:t>
      </w:r>
    </w:p>
    <w:p w14:paraId="62D899B9">
      <w:pPr>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列支原始依据不充分</w:t>
      </w:r>
    </w:p>
    <w:p w14:paraId="7BAC25DF">
      <w:pPr>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如：</w:t>
      </w:r>
      <w:r>
        <w:rPr>
          <w:rFonts w:hint="eastAsia" w:ascii="Times New Roman" w:hAnsi="Times New Roman" w:eastAsia="仿宋_GB2312" w:cs="仿宋_GB2312"/>
          <w:sz w:val="32"/>
          <w:szCs w:val="32"/>
        </w:rPr>
        <w:t>2017年12月31日第0028号凭证，遂宁市科学技术协会报销招待费、会议费，附件不正规，涉及金额2,873.00元。</w:t>
      </w:r>
    </w:p>
    <w:p w14:paraId="3164E7AF">
      <w:pPr>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（2）核算不合规</w:t>
      </w:r>
    </w:p>
    <w:p w14:paraId="1B7DD677">
      <w:pPr>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①未按照实际发生经济业务列支</w:t>
      </w:r>
    </w:p>
    <w:p w14:paraId="74E5B98B">
      <w:pPr>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如：</w:t>
      </w:r>
      <w:r>
        <w:rPr>
          <w:rFonts w:hint="eastAsia" w:ascii="Times New Roman" w:hAnsi="Times New Roman" w:eastAsia="仿宋_GB2312" w:cs="仿宋_GB2312"/>
          <w:sz w:val="32"/>
          <w:szCs w:val="32"/>
        </w:rPr>
        <w:t>2017年12月31日第0030号凭证，遂宁市科学技术协会支付培训交通费1,990.00元，遂宁市科学技术协会列支“差旅费”，应列支“培训费”。</w:t>
      </w:r>
    </w:p>
    <w:p w14:paraId="023181D5">
      <w:pPr>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②未开设工会账户独立核算</w:t>
      </w:r>
    </w:p>
    <w:p w14:paraId="52D56F68">
      <w:pPr>
        <w:ind w:firstLine="640" w:firstLineChars="200"/>
        <w:rPr>
          <w:rFonts w:hint="eastAsia" w:ascii="Times New Roman" w:hAnsi="Times New Roman" w:eastAsia="仿宋_GB2312" w:cs="仿宋_GB2312"/>
          <w:b w:val="0"/>
          <w:bCs/>
          <w:sz w:val="32"/>
          <w:szCs w:val="32"/>
        </w:rPr>
      </w:pPr>
      <w:r>
        <w:rPr>
          <w:rFonts w:hint="eastAsia" w:ascii="Times New Roman" w:hAnsi="Times New Roman" w:eastAsia="仿宋_GB2312" w:cs="仿宋_GB2312"/>
          <w:sz w:val="32"/>
          <w:szCs w:val="32"/>
          <w:lang w:val="en-US" w:eastAsia="zh-CN"/>
        </w:rPr>
        <w:t>如：</w:t>
      </w:r>
      <w:r>
        <w:rPr>
          <w:rFonts w:hint="eastAsia" w:ascii="Times New Roman" w:hAnsi="Times New Roman" w:eastAsia="仿宋_GB2312" w:cs="仿宋_GB2312"/>
          <w:sz w:val="32"/>
          <w:szCs w:val="32"/>
        </w:rPr>
        <w:t>2017年4月30日第0017号凭证，遂宁市科学技术协会工会活动发放元旦、春节慰问品，在单位行政账户中列支“工会经费”科目，金额5,500.00元。</w:t>
      </w:r>
    </w:p>
    <w:p w14:paraId="71BA177B">
      <w:pPr>
        <w:spacing w:line="600" w:lineRule="atLeast"/>
        <w:ind w:firstLine="643" w:firstLineChars="200"/>
        <w:rPr>
          <w:rFonts w:hint="eastAsia" w:ascii="Times New Roman" w:hAnsi="Times New Roman" w:eastAsia="楷体_GB2312" w:cs="楷体_GB2312"/>
          <w:bCs/>
          <w:sz w:val="32"/>
          <w:szCs w:val="32"/>
        </w:rPr>
      </w:pPr>
      <w:r>
        <w:rPr>
          <w:rFonts w:hint="eastAsia" w:ascii="Times New Roman" w:hAnsi="Times New Roman" w:eastAsia="楷体_GB2312" w:cs="楷体_GB2312"/>
          <w:b/>
          <w:sz w:val="32"/>
          <w:szCs w:val="32"/>
        </w:rPr>
        <w:t>（三）改进建议</w:t>
      </w:r>
    </w:p>
    <w:p w14:paraId="4DC420DB">
      <w:pPr>
        <w:snapToGrid w:val="0"/>
        <w:spacing w:line="540" w:lineRule="exact"/>
        <w:ind w:firstLine="640" w:firstLineChars="200"/>
        <w:jc w:val="left"/>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1.</w:t>
      </w:r>
      <w:r>
        <w:rPr>
          <w:rFonts w:hint="eastAsia" w:ascii="Times New Roman" w:hAnsi="Times New Roman" w:eastAsia="仿宋_GB2312" w:cs="仿宋_GB2312"/>
          <w:bCs/>
          <w:sz w:val="32"/>
          <w:szCs w:val="32"/>
        </w:rPr>
        <w:t>加强财务会计人员业务培训，提升业务质量，严格执行会计基础工作规范。</w:t>
      </w:r>
    </w:p>
    <w:p w14:paraId="3212F73B">
      <w:pPr>
        <w:snapToGrid w:val="0"/>
        <w:spacing w:line="540" w:lineRule="exact"/>
        <w:ind w:firstLine="640" w:firstLineChars="200"/>
        <w:jc w:val="left"/>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lang w:val="en-US" w:eastAsia="zh-CN"/>
        </w:rPr>
        <w:t>2.</w:t>
      </w:r>
      <w:r>
        <w:rPr>
          <w:rFonts w:hint="eastAsia" w:ascii="Times New Roman" w:hAnsi="Times New Roman" w:eastAsia="仿宋_GB2312" w:cs="仿宋_GB2312"/>
          <w:bCs/>
          <w:sz w:val="32"/>
          <w:szCs w:val="32"/>
        </w:rPr>
        <w:t>需进一步控制日常公用经费中不必要支出。</w:t>
      </w:r>
    </w:p>
    <w:p w14:paraId="47D7E87F">
      <w:pPr>
        <w:keepNext w:val="0"/>
        <w:keepLines w:val="0"/>
        <w:pageBreakBefore w:val="0"/>
        <w:widowControl w:val="0"/>
        <w:numPr>
          <w:ilvl w:val="0"/>
          <w:numId w:val="0"/>
        </w:numPr>
        <w:kinsoku/>
        <w:wordWrap/>
        <w:overflowPunct/>
        <w:topLinePunct w:val="0"/>
        <w:autoSpaceDE/>
        <w:autoSpaceDN/>
        <w:bidi w:val="0"/>
        <w:adjustRightInd w:val="0"/>
        <w:snapToGrid w:val="0"/>
        <w:spacing w:line="640" w:lineRule="exact"/>
        <w:ind w:firstLine="640" w:firstLineChars="200"/>
        <w:jc w:val="left"/>
        <w:textAlignment w:val="auto"/>
        <w:outlineLvl w:val="9"/>
        <w:rPr>
          <w:rFonts w:hint="eastAsia" w:ascii="Times New Roman" w:hAnsi="Times New Roman" w:eastAsia="仿宋_GB2312" w:cs="仿宋_GB2312"/>
          <w:b w:val="0"/>
          <w:bCs/>
          <w:sz w:val="32"/>
          <w:szCs w:val="32"/>
          <w:lang w:val="en-US" w:eastAsia="zh-CN"/>
        </w:rPr>
      </w:pPr>
      <w:r>
        <w:rPr>
          <w:rFonts w:hint="eastAsia" w:ascii="Times New Roman" w:hAnsi="Times New Roman" w:eastAsia="仿宋_GB2312" w:cs="仿宋_GB2312"/>
          <w:b w:val="0"/>
          <w:bCs/>
          <w:sz w:val="32"/>
          <w:szCs w:val="32"/>
          <w:lang w:val="en-US" w:eastAsia="zh-CN"/>
        </w:rPr>
        <w:t>3.部门加强资金管理，对事前、事中进行控制，开展年度中期评估，对下半年度资金做好计划，对预留资金结余较大的，及时返还财政，以提高资金使用效益。</w:t>
      </w:r>
    </w:p>
    <w:p w14:paraId="09A64A1F">
      <w:pPr>
        <w:snapToGrid w:val="0"/>
        <w:spacing w:line="540" w:lineRule="exact"/>
        <w:ind w:firstLine="640" w:firstLineChars="200"/>
        <w:jc w:val="left"/>
        <w:rPr>
          <w:rFonts w:hint="eastAsia" w:ascii="Times New Roman" w:hAnsi="Times New Roman" w:eastAsia="仿宋_GB2312" w:cs="仿宋_GB2312"/>
          <w:bCs/>
          <w:sz w:val="32"/>
          <w:szCs w:val="32"/>
        </w:rPr>
      </w:pPr>
      <w:r>
        <w:rPr>
          <w:rFonts w:hint="eastAsia" w:ascii="Times New Roman" w:hAnsi="Times New Roman" w:eastAsia="仿宋_GB2312" w:cs="仿宋_GB2312"/>
          <w:b w:val="0"/>
          <w:bCs/>
          <w:sz w:val="32"/>
          <w:szCs w:val="32"/>
          <w:lang w:val="en-US" w:eastAsia="zh-CN"/>
        </w:rPr>
        <w:t>4.按照规定进行会计核算，实行会计监督；遵守国家实行统一的会计制度，填制会计凭证，登记会计账簿，编制财务会计报告；须按照统一的会计会计制度的规定对原始凭证进行审核，对不真实、不合法的原始凭证有权不予接受，并向单位负责人报告；对记载不准确、不完整的原始凭证予以退回，并按照国家统一的会计制度的规定更正、补充。</w:t>
      </w:r>
    </w:p>
    <w:p w14:paraId="6E2089DD">
      <w:pPr>
        <w:rPr>
          <w:rFonts w:ascii="Times New Roman" w:hAnsi="Times New Roman"/>
        </w:rPr>
      </w:pPr>
    </w:p>
    <w:sectPr>
      <w:footerReference r:id="rId3" w:type="default"/>
      <w:footerReference r:id="rId4" w:type="even"/>
      <w:pgSz w:w="11906" w:h="16838"/>
      <w:pgMar w:top="1531" w:right="1474" w:bottom="1531" w:left="1588" w:header="851" w:footer="992" w:gutter="0"/>
      <w:paperSrc w:other="15"/>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14C48">
    <w:pPr>
      <w:pStyle w:val="4"/>
      <w:framePr w:wrap="around" w:vAnchor="text" w:hAnchor="margin" w:xAlign="outside" w:y="1"/>
      <w:rPr>
        <w:rStyle w:val="9"/>
        <w:rFonts w:ascii="宋体" w:hAnsi="宋体"/>
        <w:sz w:val="28"/>
        <w:szCs w:val="28"/>
      </w:rPr>
    </w:pP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- 2 -</w:t>
    </w:r>
    <w:r>
      <w:rPr>
        <w:rFonts w:ascii="宋体" w:hAnsi="宋体"/>
        <w:sz w:val="28"/>
        <w:szCs w:val="28"/>
      </w:rPr>
      <w:fldChar w:fldCharType="end"/>
    </w:r>
  </w:p>
  <w:p w14:paraId="25059317">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8DA77">
    <w:pPr>
      <w:pStyle w:val="4"/>
      <w:framePr w:wrap="around" w:vAnchor="text" w:hAnchor="margin" w:xAlign="outside" w:y="1"/>
      <w:rPr>
        <w:rStyle w:val="9"/>
      </w:rPr>
    </w:pPr>
    <w:r>
      <w:fldChar w:fldCharType="begin"/>
    </w:r>
    <w:r>
      <w:rPr>
        <w:rStyle w:val="9"/>
      </w:rPr>
      <w:instrText xml:space="preserve">PAGE  </w:instrText>
    </w:r>
    <w:r>
      <w:fldChar w:fldCharType="end"/>
    </w:r>
  </w:p>
  <w:p w14:paraId="26B49721">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C99"/>
    <w:rsid w:val="00095C01"/>
    <w:rsid w:val="00124712"/>
    <w:rsid w:val="00446C8E"/>
    <w:rsid w:val="004E2C99"/>
    <w:rsid w:val="005C1614"/>
    <w:rsid w:val="006B2FD8"/>
    <w:rsid w:val="006C5FDE"/>
    <w:rsid w:val="0091734A"/>
    <w:rsid w:val="00B42BE7"/>
    <w:rsid w:val="00BA555A"/>
    <w:rsid w:val="00CF6EC8"/>
    <w:rsid w:val="00DC0F55"/>
    <w:rsid w:val="02692B00"/>
    <w:rsid w:val="057E7EB2"/>
    <w:rsid w:val="05CF01B1"/>
    <w:rsid w:val="061C0A02"/>
    <w:rsid w:val="06D510F9"/>
    <w:rsid w:val="085E0579"/>
    <w:rsid w:val="08D13B8B"/>
    <w:rsid w:val="090F743C"/>
    <w:rsid w:val="09A6298E"/>
    <w:rsid w:val="0B8D48CD"/>
    <w:rsid w:val="0C0C2EEC"/>
    <w:rsid w:val="0C4F4943"/>
    <w:rsid w:val="11C40084"/>
    <w:rsid w:val="12B438AD"/>
    <w:rsid w:val="135E425A"/>
    <w:rsid w:val="17AB4D7B"/>
    <w:rsid w:val="18D2118B"/>
    <w:rsid w:val="1D8D08BA"/>
    <w:rsid w:val="1DE047A0"/>
    <w:rsid w:val="1EA259B7"/>
    <w:rsid w:val="1EB06944"/>
    <w:rsid w:val="20783337"/>
    <w:rsid w:val="21DD77CF"/>
    <w:rsid w:val="23EC3416"/>
    <w:rsid w:val="263B4DDC"/>
    <w:rsid w:val="2870545B"/>
    <w:rsid w:val="2A23556F"/>
    <w:rsid w:val="2A881345"/>
    <w:rsid w:val="2B6441FA"/>
    <w:rsid w:val="2BC932B0"/>
    <w:rsid w:val="2BDF22D2"/>
    <w:rsid w:val="2D853CCA"/>
    <w:rsid w:val="2DA545BE"/>
    <w:rsid w:val="2F9E2E44"/>
    <w:rsid w:val="30346E78"/>
    <w:rsid w:val="307E3A65"/>
    <w:rsid w:val="3193169A"/>
    <w:rsid w:val="33E1373E"/>
    <w:rsid w:val="35FB41E6"/>
    <w:rsid w:val="37A15FE3"/>
    <w:rsid w:val="38413B54"/>
    <w:rsid w:val="38BD196B"/>
    <w:rsid w:val="397C1565"/>
    <w:rsid w:val="3980462B"/>
    <w:rsid w:val="39923A70"/>
    <w:rsid w:val="3A6104D5"/>
    <w:rsid w:val="3D8722FD"/>
    <w:rsid w:val="402347A0"/>
    <w:rsid w:val="40A0781D"/>
    <w:rsid w:val="432D3996"/>
    <w:rsid w:val="45594531"/>
    <w:rsid w:val="46C4531B"/>
    <w:rsid w:val="47E22774"/>
    <w:rsid w:val="48E45EA4"/>
    <w:rsid w:val="496A3DFE"/>
    <w:rsid w:val="4A4603F3"/>
    <w:rsid w:val="4A5352EF"/>
    <w:rsid w:val="4BDB09B4"/>
    <w:rsid w:val="4C0C2791"/>
    <w:rsid w:val="4D6430DB"/>
    <w:rsid w:val="4F597692"/>
    <w:rsid w:val="4FD3365B"/>
    <w:rsid w:val="500917DD"/>
    <w:rsid w:val="54E33358"/>
    <w:rsid w:val="55C2487C"/>
    <w:rsid w:val="5616016D"/>
    <w:rsid w:val="56650DE6"/>
    <w:rsid w:val="572264EF"/>
    <w:rsid w:val="573278DE"/>
    <w:rsid w:val="57C76C7E"/>
    <w:rsid w:val="58145F5D"/>
    <w:rsid w:val="5A9605EF"/>
    <w:rsid w:val="5B305191"/>
    <w:rsid w:val="5CBB6645"/>
    <w:rsid w:val="5CEE7942"/>
    <w:rsid w:val="5CF17988"/>
    <w:rsid w:val="5DBFD58A"/>
    <w:rsid w:val="60E475F9"/>
    <w:rsid w:val="60F731CF"/>
    <w:rsid w:val="611818B7"/>
    <w:rsid w:val="61326359"/>
    <w:rsid w:val="61952158"/>
    <w:rsid w:val="64AF7B7D"/>
    <w:rsid w:val="65952451"/>
    <w:rsid w:val="66AD0DFA"/>
    <w:rsid w:val="67A8200C"/>
    <w:rsid w:val="6A683C70"/>
    <w:rsid w:val="6C7E1377"/>
    <w:rsid w:val="6C917185"/>
    <w:rsid w:val="6E120181"/>
    <w:rsid w:val="6ED97EDA"/>
    <w:rsid w:val="6F6F0D46"/>
    <w:rsid w:val="70521BBE"/>
    <w:rsid w:val="71104F28"/>
    <w:rsid w:val="716F41DB"/>
    <w:rsid w:val="740E77EE"/>
    <w:rsid w:val="76247AFA"/>
    <w:rsid w:val="76D46C41"/>
    <w:rsid w:val="7AE131AD"/>
    <w:rsid w:val="7B3946FE"/>
    <w:rsid w:val="7BC15B6D"/>
    <w:rsid w:val="7D2B3700"/>
    <w:rsid w:val="7DD404C6"/>
    <w:rsid w:val="7DF97E6D"/>
    <w:rsid w:val="7E3E3613"/>
    <w:rsid w:val="7EA67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字符"/>
    <w:basedOn w:val="8"/>
    <w:link w:val="4"/>
    <w:qFormat/>
    <w:uiPriority w:val="0"/>
    <w:rPr>
      <w:rFonts w:ascii="Times New Roman" w:hAnsi="Times New Roman" w:eastAsia="宋体" w:cs="Times New Roman"/>
      <w:sz w:val="18"/>
      <w:szCs w:val="18"/>
    </w:rPr>
  </w:style>
  <w:style w:type="character" w:customStyle="1" w:styleId="12">
    <w:name w:val="批注文字 字符"/>
    <w:basedOn w:val="8"/>
    <w:link w:val="2"/>
    <w:semiHidden/>
    <w:qFormat/>
    <w:uiPriority w:val="99"/>
  </w:style>
  <w:style w:type="character" w:customStyle="1" w:styleId="13">
    <w:name w:val="批注主题 字符"/>
    <w:basedOn w:val="12"/>
    <w:link w:val="6"/>
    <w:semiHidden/>
    <w:qFormat/>
    <w:uiPriority w:val="99"/>
    <w:rPr>
      <w:b/>
      <w:bCs/>
    </w:rPr>
  </w:style>
  <w:style w:type="character" w:customStyle="1" w:styleId="14">
    <w:name w:val="批注框文本 字符"/>
    <w:basedOn w:val="8"/>
    <w:link w:val="3"/>
    <w:semiHidden/>
    <w:qFormat/>
    <w:uiPriority w:val="99"/>
    <w:rPr>
      <w:sz w:val="18"/>
      <w:szCs w:val="18"/>
    </w:rPr>
  </w:style>
  <w:style w:type="paragraph" w:styleId="15">
    <w:name w:val="List Paragraph"/>
    <w:basedOn w:val="1"/>
    <w:qFormat/>
    <w:uiPriority w:val="34"/>
    <w:pPr>
      <w:ind w:firstLine="420" w:firstLineChars="200"/>
    </w:pPr>
  </w:style>
  <w:style w:type="paragraph" w:customStyle="1" w:styleId="16">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1509</Words>
  <Characters>8603</Characters>
  <Lines>71</Lines>
  <Paragraphs>20</Paragraphs>
  <TotalTime>0</TotalTime>
  <ScaleCrop>false</ScaleCrop>
  <LinksUpToDate>false</LinksUpToDate>
  <CharactersWithSpaces>10092</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2018-09-28T20:50:00Z</dcterms:created>
  <dc:creator> </dc:creator>
  <cp:lastModifiedBy> </cp:lastModifiedBy>
  <dcterms:modified xsi:type="dcterms:W3CDTF">2025-04-24T18:40:32Z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1287C0BDEAEAB4D320150A6893C7ABB9_42</vt:lpwstr>
  </property>
</Properties>
</file>