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93"/>
        <w:rPr>
          <w:rFonts w:hint="eastAsia" w:ascii="Times New Roman" w:eastAsia="方正小标宋简体"/>
          <w:kern w:val="2"/>
          <w:sz w:val="44"/>
          <w:szCs w:val="44"/>
        </w:rPr>
      </w:pPr>
      <w:bookmarkStart w:id="0" w:name="_Toc15378441"/>
      <w:bookmarkStart w:id="1" w:name="_Toc15377425"/>
      <w:bookmarkStart w:id="2" w:name="_Toc15377193"/>
      <w:bookmarkStart w:id="3" w:name="_Toc15396475"/>
      <w:bookmarkStart w:id="4" w:name="_Toc15396597"/>
      <w:bookmarkStart w:id="5" w:name="_Toc15306267"/>
    </w:p>
    <w:p>
      <w:pPr>
        <w:pStyle w:val="2"/>
        <w:spacing w:before="93"/>
        <w:rPr>
          <w:rFonts w:hint="eastAsia" w:ascii="Times New Roman" w:eastAsia="方正小标宋简体"/>
          <w:kern w:val="2"/>
          <w:sz w:val="44"/>
          <w:szCs w:val="44"/>
        </w:rPr>
      </w:pPr>
    </w:p>
    <w:p>
      <w:pPr>
        <w:pStyle w:val="2"/>
        <w:spacing w:before="93"/>
        <w:rPr>
          <w:rFonts w:hint="eastAsia" w:ascii="Times New Roman" w:eastAsia="方正小标宋简体"/>
          <w:kern w:val="2"/>
          <w:sz w:val="44"/>
          <w:szCs w:val="44"/>
        </w:rPr>
      </w:pPr>
    </w:p>
    <w:p>
      <w:pPr>
        <w:pStyle w:val="2"/>
        <w:spacing w:before="93"/>
        <w:rPr>
          <w:rFonts w:hint="eastAsia" w:ascii="Times New Roman" w:eastAsia="方正小标宋简体"/>
          <w:kern w:val="2"/>
          <w:sz w:val="44"/>
          <w:szCs w:val="44"/>
        </w:rPr>
      </w:pPr>
    </w:p>
    <w:p>
      <w:pPr>
        <w:pStyle w:val="2"/>
        <w:spacing w:before="93"/>
        <w:rPr>
          <w:rFonts w:hint="eastAsia" w:ascii="Times New Roman" w:eastAsia="方正小标宋简体"/>
          <w:kern w:val="2"/>
          <w:sz w:val="44"/>
          <w:szCs w:val="44"/>
        </w:rPr>
      </w:pPr>
    </w:p>
    <w:p>
      <w:pPr>
        <w:pStyle w:val="2"/>
        <w:spacing w:before="93"/>
        <w:rPr>
          <w:rFonts w:hint="eastAsia" w:ascii="Times New Roman" w:eastAsia="方正小标宋简体"/>
          <w:kern w:val="2"/>
          <w:sz w:val="44"/>
          <w:szCs w:val="44"/>
        </w:rPr>
      </w:pPr>
    </w:p>
    <w:p>
      <w:pPr>
        <w:pStyle w:val="2"/>
        <w:spacing w:before="93"/>
        <w:rPr>
          <w:rFonts w:hint="eastAsia" w:ascii="Times New Roman" w:eastAsia="方正小标宋简体"/>
          <w:kern w:val="2"/>
          <w:sz w:val="44"/>
          <w:szCs w:val="44"/>
        </w:rPr>
      </w:pPr>
    </w:p>
    <w:p>
      <w:pPr>
        <w:pStyle w:val="2"/>
        <w:spacing w:before="93"/>
        <w:rPr>
          <w:rFonts w:hint="eastAsia" w:ascii="Times New Roman" w:eastAsia="方正小标宋简体"/>
          <w:kern w:val="2"/>
          <w:sz w:val="44"/>
          <w:szCs w:val="44"/>
        </w:rPr>
      </w:pPr>
    </w:p>
    <w:p>
      <w:pPr>
        <w:pStyle w:val="2"/>
        <w:spacing w:before="93"/>
        <w:rPr>
          <w:rFonts w:ascii="Times New Roman" w:eastAsia="方正小标宋简体"/>
          <w:kern w:val="2"/>
          <w:sz w:val="44"/>
          <w:szCs w:val="44"/>
        </w:rPr>
      </w:pPr>
    </w:p>
    <w:bookmarkEnd w:id="0"/>
    <w:bookmarkEnd w:id="1"/>
    <w:bookmarkEnd w:id="2"/>
    <w:bookmarkEnd w:id="3"/>
    <w:bookmarkEnd w:id="4"/>
    <w:p>
      <w:pPr>
        <w:pStyle w:val="2"/>
        <w:spacing w:before="93"/>
        <w:jc w:val="center"/>
        <w:rPr>
          <w:rFonts w:ascii="Times New Roman" w:eastAsia="方正小标宋简体"/>
          <w:kern w:val="2"/>
          <w:sz w:val="50"/>
          <w:szCs w:val="44"/>
        </w:rPr>
      </w:pPr>
      <w:bookmarkStart w:id="6" w:name="_Toc15396476"/>
      <w:bookmarkStart w:id="7" w:name="_Toc15377426"/>
      <w:bookmarkStart w:id="8" w:name="_Toc15396598"/>
      <w:bookmarkStart w:id="9" w:name="_Toc15377194"/>
      <w:bookmarkStart w:id="10" w:name="_Toc15378442"/>
      <w:r>
        <w:rPr>
          <w:rFonts w:hint="eastAsia" w:ascii="Times New Roman" w:eastAsia="方正小标宋简体"/>
          <w:kern w:val="2"/>
          <w:sz w:val="50"/>
          <w:szCs w:val="44"/>
        </w:rPr>
        <w:t>2024年度四川省</w:t>
      </w:r>
      <w:bookmarkEnd w:id="5"/>
      <w:bookmarkStart w:id="11" w:name="_Toc15306268"/>
      <w:r>
        <w:rPr>
          <w:rFonts w:hint="eastAsia" w:ascii="Times New Roman" w:eastAsia="方正小标宋简体"/>
          <w:kern w:val="2"/>
          <w:sz w:val="50"/>
          <w:szCs w:val="44"/>
        </w:rPr>
        <w:t>遂宁市票据监管中心单位决算</w:t>
      </w:r>
      <w:bookmarkEnd w:id="6"/>
      <w:bookmarkEnd w:id="7"/>
      <w:bookmarkEnd w:id="8"/>
      <w:bookmarkEnd w:id="9"/>
      <w:bookmarkEnd w:id="10"/>
      <w:bookmarkEnd w:id="11"/>
    </w:p>
    <w:p>
      <w:pPr>
        <w:widowControl/>
        <w:jc w:val="center"/>
        <w:rPr>
          <w:rFonts w:eastAsia="方正小标宋简体"/>
          <w:sz w:val="36"/>
          <w:szCs w:val="36"/>
        </w:rPr>
        <w:sectPr>
          <w:footerReference r:id="rId4" w:type="first"/>
          <w:footerReference r:id="rId3" w:type="default"/>
          <w:pgSz w:w="11906" w:h="16838"/>
          <w:pgMar w:top="1440" w:right="1797" w:bottom="1440" w:left="1797" w:header="851" w:footer="992" w:gutter="0"/>
          <w:pgNumType w:start="1"/>
          <w:cols w:space="425" w:num="1"/>
          <w:titlePg/>
          <w:docGrid w:type="lines" w:linePitch="312" w:charSpace="0"/>
        </w:sectPr>
      </w:pPr>
      <w:r>
        <w:rPr>
          <w:rFonts w:eastAsia="方正小标宋简体"/>
          <w:sz w:val="36"/>
          <w:szCs w:val="36"/>
        </w:rPr>
        <w:br w:type="page"/>
      </w:r>
    </w:p>
    <w:p>
      <w:pPr>
        <w:widowControl/>
        <w:jc w:val="center"/>
        <w:rPr>
          <w:rFonts w:eastAsia="黑体"/>
          <w:sz w:val="48"/>
          <w:szCs w:val="48"/>
        </w:rPr>
      </w:pPr>
      <w:r>
        <w:rPr>
          <w:rFonts w:hint="eastAsia" w:eastAsia="黑体"/>
          <w:sz w:val="48"/>
          <w:szCs w:val="48"/>
        </w:rPr>
        <w:t>目录</w:t>
      </w:r>
    </w:p>
    <w:p>
      <w:pPr>
        <w:widowControl/>
        <w:jc w:val="center"/>
        <w:rPr>
          <w:rFonts w:eastAsia="黑体" w:cstheme="minorBidi"/>
          <w:sz w:val="28"/>
          <w:szCs w:val="28"/>
        </w:rPr>
      </w:pPr>
    </w:p>
    <w:p>
      <w:pPr>
        <w:pStyle w:val="12"/>
        <w:rPr>
          <w:rFonts w:ascii="Times New Roman" w:hAnsi="Times New Roman" w:eastAsia="仿宋_GB2312" w:cs="仿宋_GB2312"/>
          <w:sz w:val="32"/>
          <w:szCs w:val="32"/>
        </w:rPr>
      </w:pPr>
      <w:r>
        <w:rPr>
          <w:rFonts w:hint="eastAsia" w:ascii="Times New Roman" w:hAnsi="Times New Roman" w:eastAsia="仿宋_GB2312" w:cs="仿宋_GB2312"/>
          <w:sz w:val="32"/>
          <w:szCs w:val="32"/>
        </w:rPr>
        <w:t>公开时间：2025年8月22 日</w:t>
      </w:r>
    </w:p>
    <w:p>
      <w:pPr>
        <w:rPr>
          <w:rFonts w:hint="eastAsia"/>
        </w:rPr>
      </w:pPr>
    </w:p>
    <w:sdt>
      <w:sdtPr>
        <w:rPr>
          <w:sz w:val="32"/>
          <w:szCs w:val="32"/>
          <w:lang w:val="zh-CN"/>
        </w:rPr>
        <w:id w:val="-1"/>
        <w:docPartObj>
          <w:docPartGallery w:val="Table of Contents"/>
          <w:docPartUnique/>
        </w:docPartObj>
      </w:sdtPr>
      <w:sdtEndPr>
        <w:rPr>
          <w:rFonts w:ascii="Times New Roman" w:hAnsi="Times New Roman" w:eastAsia="宋体"/>
          <w:b/>
          <w:bCs/>
          <w:sz w:val="32"/>
          <w:szCs w:val="32"/>
          <w:lang w:val="zh-CN"/>
        </w:rPr>
      </w:sdtEndPr>
      <w:sdtContent>
        <w:p>
          <w:pPr>
            <w:pStyle w:val="12"/>
            <w:spacing w:before="0" w:line="640" w:lineRule="exact"/>
            <w:rPr>
              <w:rFonts w:asciiTheme="minorHAnsi" w:hAnsiTheme="minorHAnsi" w:eastAsiaTheme="minorEastAsia" w:cstheme="minorBidi"/>
              <w:sz w:val="32"/>
              <w:szCs w:val="32"/>
            </w:rPr>
          </w:pPr>
          <w:r>
            <w:rPr>
              <w:sz w:val="32"/>
              <w:szCs w:val="32"/>
            </w:rPr>
            <w:fldChar w:fldCharType="begin"/>
          </w:r>
          <w:r>
            <w:rPr>
              <w:sz w:val="32"/>
              <w:szCs w:val="32"/>
            </w:rPr>
            <w:instrText xml:space="preserve"> TOC \o "1-3" \h \z \u </w:instrText>
          </w:r>
          <w:r>
            <w:rPr>
              <w:sz w:val="32"/>
              <w:szCs w:val="32"/>
            </w:rPr>
            <w:fldChar w:fldCharType="separate"/>
          </w:r>
          <w:r>
            <w:fldChar w:fldCharType="begin"/>
          </w:r>
          <w:r>
            <w:instrText xml:space="preserve"> HYPERLINK \l "_Toc206602897" </w:instrText>
          </w:r>
          <w:r>
            <w:fldChar w:fldCharType="separate"/>
          </w:r>
          <w:r>
            <w:rPr>
              <w:rStyle w:val="19"/>
              <w:rFonts w:hint="eastAsia" w:eastAsia="方正小标宋简体" w:cs="方正小标宋简体"/>
              <w:sz w:val="32"/>
              <w:szCs w:val="32"/>
            </w:rPr>
            <w:t>第一部分</w:t>
          </w:r>
          <w:r>
            <w:rPr>
              <w:rStyle w:val="19"/>
              <w:rFonts w:eastAsia="方正小标宋简体" w:cs="方正小标宋简体"/>
              <w:sz w:val="32"/>
              <w:szCs w:val="32"/>
            </w:rPr>
            <w:t xml:space="preserve">  </w:t>
          </w:r>
          <w:r>
            <w:rPr>
              <w:rStyle w:val="19"/>
              <w:rFonts w:hint="eastAsia" w:eastAsia="方正小标宋简体" w:cs="方正小标宋简体"/>
              <w:sz w:val="32"/>
              <w:szCs w:val="32"/>
            </w:rPr>
            <w:t>部门概况</w:t>
          </w:r>
          <w:r>
            <w:rPr>
              <w:sz w:val="32"/>
              <w:szCs w:val="32"/>
            </w:rPr>
            <w:tab/>
          </w:r>
          <w:r>
            <w:rPr>
              <w:sz w:val="32"/>
              <w:szCs w:val="32"/>
            </w:rPr>
            <w:fldChar w:fldCharType="begin"/>
          </w:r>
          <w:r>
            <w:rPr>
              <w:sz w:val="32"/>
              <w:szCs w:val="32"/>
            </w:rPr>
            <w:instrText xml:space="preserve"> PAGEREF _Toc206602897 \h </w:instrText>
          </w:r>
          <w:r>
            <w:rPr>
              <w:sz w:val="32"/>
              <w:szCs w:val="32"/>
            </w:rPr>
            <w:fldChar w:fldCharType="separate"/>
          </w:r>
          <w:r>
            <w:rPr>
              <w:sz w:val="32"/>
              <w:szCs w:val="32"/>
            </w:rPr>
            <w:t>1</w:t>
          </w:r>
          <w:r>
            <w:rPr>
              <w:sz w:val="32"/>
              <w:szCs w:val="32"/>
            </w:rPr>
            <w:fldChar w:fldCharType="end"/>
          </w:r>
          <w:r>
            <w:rPr>
              <w:sz w:val="32"/>
              <w:szCs w:val="32"/>
            </w:rPr>
            <w:fldChar w:fldCharType="end"/>
          </w:r>
        </w:p>
        <w:p>
          <w:pPr>
            <w:pStyle w:val="14"/>
            <w:spacing w:line="640" w:lineRule="exact"/>
            <w:rPr>
              <w:rFonts w:asciiTheme="minorHAnsi" w:hAnsiTheme="minorHAnsi" w:eastAsiaTheme="minorEastAsia" w:cstheme="minorBidi"/>
              <w:sz w:val="32"/>
              <w:szCs w:val="32"/>
            </w:rPr>
          </w:pPr>
          <w:r>
            <w:fldChar w:fldCharType="begin"/>
          </w:r>
          <w:r>
            <w:instrText xml:space="preserve"> HYPERLINK \l "_Toc206602898" </w:instrText>
          </w:r>
          <w:r>
            <w:fldChar w:fldCharType="separate"/>
          </w:r>
          <w:r>
            <w:rPr>
              <w:rStyle w:val="19"/>
              <w:rFonts w:hint="eastAsia" w:eastAsia="黑体"/>
              <w:sz w:val="32"/>
              <w:szCs w:val="32"/>
            </w:rPr>
            <w:t>一、 部门职责</w:t>
          </w:r>
          <w:r>
            <w:rPr>
              <w:sz w:val="32"/>
              <w:szCs w:val="32"/>
            </w:rPr>
            <w:tab/>
          </w:r>
          <w:r>
            <w:rPr>
              <w:sz w:val="32"/>
              <w:szCs w:val="32"/>
            </w:rPr>
            <w:fldChar w:fldCharType="begin"/>
          </w:r>
          <w:r>
            <w:rPr>
              <w:sz w:val="32"/>
              <w:szCs w:val="32"/>
            </w:rPr>
            <w:instrText xml:space="preserve"> PAGEREF _Toc206602898 \h </w:instrText>
          </w:r>
          <w:r>
            <w:rPr>
              <w:sz w:val="32"/>
              <w:szCs w:val="32"/>
            </w:rPr>
            <w:fldChar w:fldCharType="separate"/>
          </w:r>
          <w:r>
            <w:rPr>
              <w:sz w:val="32"/>
              <w:szCs w:val="32"/>
            </w:rPr>
            <w:t>1</w:t>
          </w:r>
          <w:r>
            <w:rPr>
              <w:sz w:val="32"/>
              <w:szCs w:val="32"/>
            </w:rPr>
            <w:fldChar w:fldCharType="end"/>
          </w:r>
          <w:r>
            <w:rPr>
              <w:sz w:val="32"/>
              <w:szCs w:val="32"/>
            </w:rPr>
            <w:fldChar w:fldCharType="end"/>
          </w:r>
        </w:p>
        <w:p>
          <w:pPr>
            <w:pStyle w:val="14"/>
            <w:spacing w:line="640" w:lineRule="exact"/>
            <w:rPr>
              <w:rFonts w:asciiTheme="minorHAnsi" w:hAnsiTheme="minorHAnsi" w:eastAsiaTheme="minorEastAsia" w:cstheme="minorBidi"/>
              <w:sz w:val="32"/>
              <w:szCs w:val="32"/>
            </w:rPr>
          </w:pPr>
          <w:r>
            <w:fldChar w:fldCharType="begin"/>
          </w:r>
          <w:r>
            <w:instrText xml:space="preserve"> HYPERLINK \l "_Toc206602899" </w:instrText>
          </w:r>
          <w:r>
            <w:fldChar w:fldCharType="separate"/>
          </w:r>
          <w:r>
            <w:rPr>
              <w:rStyle w:val="19"/>
              <w:rFonts w:hint="eastAsia" w:eastAsia="黑体"/>
              <w:sz w:val="32"/>
              <w:szCs w:val="32"/>
            </w:rPr>
            <w:t>二、机构设置</w:t>
          </w:r>
          <w:r>
            <w:rPr>
              <w:sz w:val="32"/>
              <w:szCs w:val="32"/>
            </w:rPr>
            <w:tab/>
          </w:r>
          <w:r>
            <w:rPr>
              <w:sz w:val="32"/>
              <w:szCs w:val="32"/>
            </w:rPr>
            <w:fldChar w:fldCharType="begin"/>
          </w:r>
          <w:r>
            <w:rPr>
              <w:sz w:val="32"/>
              <w:szCs w:val="32"/>
            </w:rPr>
            <w:instrText xml:space="preserve"> PAGEREF _Toc206602899 \h </w:instrText>
          </w:r>
          <w:r>
            <w:rPr>
              <w:sz w:val="32"/>
              <w:szCs w:val="32"/>
            </w:rPr>
            <w:fldChar w:fldCharType="separate"/>
          </w:r>
          <w:r>
            <w:rPr>
              <w:sz w:val="32"/>
              <w:szCs w:val="32"/>
            </w:rPr>
            <w:t>1</w:t>
          </w:r>
          <w:r>
            <w:rPr>
              <w:sz w:val="32"/>
              <w:szCs w:val="32"/>
            </w:rPr>
            <w:fldChar w:fldCharType="end"/>
          </w:r>
          <w:r>
            <w:rPr>
              <w:sz w:val="32"/>
              <w:szCs w:val="32"/>
            </w:rPr>
            <w:fldChar w:fldCharType="end"/>
          </w:r>
        </w:p>
        <w:p>
          <w:pPr>
            <w:pStyle w:val="12"/>
            <w:spacing w:before="0" w:line="640" w:lineRule="exact"/>
            <w:rPr>
              <w:rFonts w:asciiTheme="minorHAnsi" w:hAnsiTheme="minorHAnsi" w:eastAsiaTheme="minorEastAsia" w:cstheme="minorBidi"/>
              <w:sz w:val="32"/>
              <w:szCs w:val="32"/>
            </w:rPr>
          </w:pPr>
          <w:r>
            <w:fldChar w:fldCharType="begin"/>
          </w:r>
          <w:r>
            <w:instrText xml:space="preserve"> HYPERLINK \l "_Toc206602900" </w:instrText>
          </w:r>
          <w:r>
            <w:fldChar w:fldCharType="separate"/>
          </w:r>
          <w:r>
            <w:rPr>
              <w:rStyle w:val="19"/>
              <w:rFonts w:hint="eastAsia" w:eastAsia="方正小标宋简体" w:cs="方正小标宋简体"/>
              <w:sz w:val="32"/>
              <w:szCs w:val="32"/>
            </w:rPr>
            <w:t>第二部分</w:t>
          </w:r>
          <w:r>
            <w:rPr>
              <w:rStyle w:val="19"/>
              <w:rFonts w:eastAsia="方正小标宋简体" w:cs="方正小标宋简体"/>
              <w:sz w:val="32"/>
              <w:szCs w:val="32"/>
            </w:rPr>
            <w:t xml:space="preserve">  2024</w:t>
          </w:r>
          <w:r>
            <w:rPr>
              <w:rStyle w:val="19"/>
              <w:rFonts w:hint="eastAsia" w:eastAsia="方正小标宋简体" w:cs="方正小标宋简体"/>
              <w:sz w:val="32"/>
              <w:szCs w:val="32"/>
            </w:rPr>
            <w:t>年度部门决算情况说明</w:t>
          </w:r>
          <w:r>
            <w:rPr>
              <w:sz w:val="32"/>
              <w:szCs w:val="32"/>
            </w:rPr>
            <w:tab/>
          </w:r>
          <w:r>
            <w:rPr>
              <w:sz w:val="32"/>
              <w:szCs w:val="32"/>
            </w:rPr>
            <w:fldChar w:fldCharType="begin"/>
          </w:r>
          <w:r>
            <w:rPr>
              <w:sz w:val="32"/>
              <w:szCs w:val="32"/>
            </w:rPr>
            <w:instrText xml:space="preserve"> PAGEREF _Toc206602900 \h </w:instrText>
          </w:r>
          <w:r>
            <w:rPr>
              <w:sz w:val="32"/>
              <w:szCs w:val="32"/>
            </w:rPr>
            <w:fldChar w:fldCharType="separate"/>
          </w:r>
          <w:r>
            <w:rPr>
              <w:sz w:val="32"/>
              <w:szCs w:val="32"/>
            </w:rPr>
            <w:t>2</w:t>
          </w:r>
          <w:r>
            <w:rPr>
              <w:sz w:val="32"/>
              <w:szCs w:val="32"/>
            </w:rPr>
            <w:fldChar w:fldCharType="end"/>
          </w:r>
          <w:r>
            <w:rPr>
              <w:sz w:val="32"/>
              <w:szCs w:val="32"/>
            </w:rPr>
            <w:fldChar w:fldCharType="end"/>
          </w:r>
        </w:p>
        <w:p>
          <w:pPr>
            <w:pStyle w:val="14"/>
            <w:spacing w:line="640" w:lineRule="exact"/>
            <w:rPr>
              <w:rFonts w:asciiTheme="minorHAnsi" w:hAnsiTheme="minorHAnsi" w:eastAsiaTheme="minorEastAsia" w:cstheme="minorBidi"/>
              <w:sz w:val="32"/>
              <w:szCs w:val="32"/>
            </w:rPr>
          </w:pPr>
          <w:r>
            <w:fldChar w:fldCharType="begin"/>
          </w:r>
          <w:r>
            <w:instrText xml:space="preserve"> HYPERLINK \l "_Toc206602901" </w:instrText>
          </w:r>
          <w:r>
            <w:fldChar w:fldCharType="separate"/>
          </w:r>
          <w:r>
            <w:rPr>
              <w:rStyle w:val="19"/>
              <w:rFonts w:hint="eastAsia" w:eastAsia="黑体"/>
              <w:sz w:val="32"/>
              <w:szCs w:val="32"/>
            </w:rPr>
            <w:t>一、收</w:t>
          </w:r>
          <w:r>
            <w:rPr>
              <w:rStyle w:val="19"/>
              <w:rFonts w:hint="eastAsia" w:eastAsia="黑体" w:cstheme="majorBidi"/>
              <w:bCs/>
              <w:sz w:val="32"/>
              <w:szCs w:val="32"/>
            </w:rPr>
            <w:t>入支出决算总体情况说明</w:t>
          </w:r>
          <w:r>
            <w:rPr>
              <w:sz w:val="32"/>
              <w:szCs w:val="32"/>
            </w:rPr>
            <w:tab/>
          </w:r>
          <w:r>
            <w:rPr>
              <w:sz w:val="32"/>
              <w:szCs w:val="32"/>
            </w:rPr>
            <w:fldChar w:fldCharType="begin"/>
          </w:r>
          <w:r>
            <w:rPr>
              <w:sz w:val="32"/>
              <w:szCs w:val="32"/>
            </w:rPr>
            <w:instrText xml:space="preserve"> PAGEREF _Toc206602901 \h </w:instrText>
          </w:r>
          <w:r>
            <w:rPr>
              <w:sz w:val="32"/>
              <w:szCs w:val="32"/>
            </w:rPr>
            <w:fldChar w:fldCharType="separate"/>
          </w:r>
          <w:r>
            <w:rPr>
              <w:sz w:val="32"/>
              <w:szCs w:val="32"/>
            </w:rPr>
            <w:t>2</w:t>
          </w:r>
          <w:r>
            <w:rPr>
              <w:sz w:val="32"/>
              <w:szCs w:val="32"/>
            </w:rPr>
            <w:fldChar w:fldCharType="end"/>
          </w:r>
          <w:r>
            <w:rPr>
              <w:sz w:val="32"/>
              <w:szCs w:val="32"/>
            </w:rPr>
            <w:fldChar w:fldCharType="end"/>
          </w:r>
        </w:p>
        <w:p>
          <w:pPr>
            <w:pStyle w:val="14"/>
            <w:spacing w:line="640" w:lineRule="exact"/>
            <w:rPr>
              <w:rFonts w:asciiTheme="minorHAnsi" w:hAnsiTheme="minorHAnsi" w:eastAsiaTheme="minorEastAsia" w:cstheme="minorBidi"/>
              <w:sz w:val="32"/>
              <w:szCs w:val="32"/>
            </w:rPr>
          </w:pPr>
          <w:r>
            <w:fldChar w:fldCharType="begin"/>
          </w:r>
          <w:r>
            <w:instrText xml:space="preserve"> HYPERLINK \l "_Toc206602903" </w:instrText>
          </w:r>
          <w:r>
            <w:fldChar w:fldCharType="separate"/>
          </w:r>
          <w:r>
            <w:rPr>
              <w:rStyle w:val="19"/>
              <w:rFonts w:hint="eastAsia" w:eastAsia="黑体"/>
              <w:sz w:val="32"/>
              <w:szCs w:val="32"/>
            </w:rPr>
            <w:t>二、收入决算情况说明</w:t>
          </w:r>
          <w:r>
            <w:rPr>
              <w:sz w:val="32"/>
              <w:szCs w:val="32"/>
            </w:rPr>
            <w:tab/>
          </w:r>
          <w:r>
            <w:rPr>
              <w:sz w:val="32"/>
              <w:szCs w:val="32"/>
            </w:rPr>
            <w:fldChar w:fldCharType="begin"/>
          </w:r>
          <w:r>
            <w:rPr>
              <w:sz w:val="32"/>
              <w:szCs w:val="32"/>
            </w:rPr>
            <w:instrText xml:space="preserve"> PAGEREF _Toc206602903 \h </w:instrText>
          </w:r>
          <w:r>
            <w:rPr>
              <w:sz w:val="32"/>
              <w:szCs w:val="32"/>
            </w:rPr>
            <w:fldChar w:fldCharType="separate"/>
          </w:r>
          <w:r>
            <w:rPr>
              <w:sz w:val="32"/>
              <w:szCs w:val="32"/>
            </w:rPr>
            <w:t>2</w:t>
          </w:r>
          <w:r>
            <w:rPr>
              <w:sz w:val="32"/>
              <w:szCs w:val="32"/>
            </w:rPr>
            <w:fldChar w:fldCharType="end"/>
          </w:r>
          <w:r>
            <w:rPr>
              <w:sz w:val="32"/>
              <w:szCs w:val="32"/>
            </w:rPr>
            <w:fldChar w:fldCharType="end"/>
          </w:r>
        </w:p>
        <w:p>
          <w:pPr>
            <w:pStyle w:val="14"/>
            <w:spacing w:line="640" w:lineRule="exact"/>
            <w:rPr>
              <w:rFonts w:asciiTheme="minorHAnsi" w:hAnsiTheme="minorHAnsi" w:eastAsiaTheme="minorEastAsia" w:cstheme="minorBidi"/>
              <w:sz w:val="32"/>
              <w:szCs w:val="32"/>
            </w:rPr>
          </w:pPr>
          <w:r>
            <w:fldChar w:fldCharType="begin"/>
          </w:r>
          <w:r>
            <w:instrText xml:space="preserve"> HYPERLINK \l "_Toc206602904" </w:instrText>
          </w:r>
          <w:r>
            <w:fldChar w:fldCharType="separate"/>
          </w:r>
          <w:r>
            <w:rPr>
              <w:rStyle w:val="19"/>
              <w:rFonts w:hint="eastAsia" w:eastAsia="黑体"/>
              <w:sz w:val="32"/>
              <w:szCs w:val="32"/>
            </w:rPr>
            <w:t>三、支</w:t>
          </w:r>
          <w:r>
            <w:rPr>
              <w:rStyle w:val="19"/>
              <w:rFonts w:hint="eastAsia" w:eastAsia="黑体" w:cstheme="majorBidi"/>
              <w:bCs/>
              <w:sz w:val="32"/>
              <w:szCs w:val="32"/>
            </w:rPr>
            <w:t>出决算情况说明</w:t>
          </w:r>
          <w:r>
            <w:rPr>
              <w:sz w:val="32"/>
              <w:szCs w:val="32"/>
            </w:rPr>
            <w:tab/>
          </w:r>
          <w:r>
            <w:rPr>
              <w:sz w:val="32"/>
              <w:szCs w:val="32"/>
            </w:rPr>
            <w:fldChar w:fldCharType="begin"/>
          </w:r>
          <w:r>
            <w:rPr>
              <w:sz w:val="32"/>
              <w:szCs w:val="32"/>
            </w:rPr>
            <w:instrText xml:space="preserve"> PAGEREF _Toc206602904 \h </w:instrText>
          </w:r>
          <w:r>
            <w:rPr>
              <w:sz w:val="32"/>
              <w:szCs w:val="32"/>
            </w:rPr>
            <w:fldChar w:fldCharType="separate"/>
          </w:r>
          <w:r>
            <w:rPr>
              <w:sz w:val="32"/>
              <w:szCs w:val="32"/>
            </w:rPr>
            <w:t>3</w:t>
          </w:r>
          <w:r>
            <w:rPr>
              <w:sz w:val="32"/>
              <w:szCs w:val="32"/>
            </w:rPr>
            <w:fldChar w:fldCharType="end"/>
          </w:r>
          <w:r>
            <w:rPr>
              <w:sz w:val="32"/>
              <w:szCs w:val="32"/>
            </w:rPr>
            <w:fldChar w:fldCharType="end"/>
          </w:r>
        </w:p>
        <w:p>
          <w:pPr>
            <w:pStyle w:val="14"/>
            <w:spacing w:line="640" w:lineRule="exact"/>
            <w:rPr>
              <w:rFonts w:asciiTheme="minorHAnsi" w:hAnsiTheme="minorHAnsi" w:eastAsiaTheme="minorEastAsia" w:cstheme="minorBidi"/>
              <w:sz w:val="32"/>
              <w:szCs w:val="32"/>
            </w:rPr>
          </w:pPr>
          <w:r>
            <w:fldChar w:fldCharType="begin"/>
          </w:r>
          <w:r>
            <w:instrText xml:space="preserve"> HYPERLINK \l "_Toc206602906" </w:instrText>
          </w:r>
          <w:r>
            <w:fldChar w:fldCharType="separate"/>
          </w:r>
          <w:r>
            <w:rPr>
              <w:rStyle w:val="19"/>
              <w:rFonts w:hint="eastAsia" w:eastAsia="黑体"/>
              <w:sz w:val="32"/>
              <w:szCs w:val="32"/>
            </w:rPr>
            <w:t>四、财</w:t>
          </w:r>
          <w:r>
            <w:rPr>
              <w:rStyle w:val="19"/>
              <w:rFonts w:hint="eastAsia" w:eastAsia="黑体" w:cstheme="majorBidi"/>
              <w:bCs/>
              <w:sz w:val="32"/>
              <w:szCs w:val="32"/>
            </w:rPr>
            <w:t>政拨款收入支出决算总体情况说明</w:t>
          </w:r>
          <w:r>
            <w:rPr>
              <w:sz w:val="32"/>
              <w:szCs w:val="32"/>
            </w:rPr>
            <w:tab/>
          </w:r>
          <w:r>
            <w:rPr>
              <w:sz w:val="32"/>
              <w:szCs w:val="32"/>
            </w:rPr>
            <w:fldChar w:fldCharType="begin"/>
          </w:r>
          <w:r>
            <w:rPr>
              <w:sz w:val="32"/>
              <w:szCs w:val="32"/>
            </w:rPr>
            <w:instrText xml:space="preserve"> PAGEREF _Toc206602906 \h </w:instrText>
          </w:r>
          <w:r>
            <w:rPr>
              <w:sz w:val="32"/>
              <w:szCs w:val="32"/>
            </w:rPr>
            <w:fldChar w:fldCharType="separate"/>
          </w:r>
          <w:r>
            <w:rPr>
              <w:sz w:val="32"/>
              <w:szCs w:val="32"/>
            </w:rPr>
            <w:t>3</w:t>
          </w:r>
          <w:r>
            <w:rPr>
              <w:sz w:val="32"/>
              <w:szCs w:val="32"/>
            </w:rPr>
            <w:fldChar w:fldCharType="end"/>
          </w:r>
          <w:r>
            <w:rPr>
              <w:sz w:val="32"/>
              <w:szCs w:val="32"/>
            </w:rPr>
            <w:fldChar w:fldCharType="end"/>
          </w:r>
        </w:p>
        <w:p>
          <w:pPr>
            <w:pStyle w:val="14"/>
            <w:spacing w:line="800" w:lineRule="exact"/>
            <w:rPr>
              <w:rFonts w:asciiTheme="minorHAnsi" w:hAnsiTheme="minorHAnsi" w:eastAsiaTheme="minorEastAsia" w:cstheme="minorBidi"/>
              <w:sz w:val="32"/>
              <w:szCs w:val="32"/>
            </w:rPr>
          </w:pPr>
          <w:r>
            <w:fldChar w:fldCharType="begin"/>
          </w:r>
          <w:r>
            <w:instrText xml:space="preserve"> HYPERLINK \l "_Toc206602908" </w:instrText>
          </w:r>
          <w:r>
            <w:fldChar w:fldCharType="separate"/>
          </w:r>
          <w:r>
            <w:rPr>
              <w:rStyle w:val="19"/>
              <w:rFonts w:hint="eastAsia" w:eastAsia="黑体"/>
              <w:sz w:val="32"/>
              <w:szCs w:val="32"/>
            </w:rPr>
            <w:t>五、</w:t>
          </w:r>
          <w:r>
            <w:rPr>
              <w:rStyle w:val="19"/>
              <w:rFonts w:hint="eastAsia" w:eastAsia="黑体"/>
              <w:b/>
              <w:sz w:val="32"/>
              <w:szCs w:val="32"/>
            </w:rPr>
            <w:t>一</w:t>
          </w:r>
          <w:r>
            <w:rPr>
              <w:rStyle w:val="19"/>
              <w:rFonts w:hint="eastAsia" w:eastAsia="黑体" w:cstheme="majorBidi"/>
              <w:bCs/>
              <w:sz w:val="32"/>
              <w:szCs w:val="32"/>
            </w:rPr>
            <w:t>般公共预算财政拨款支出决算情况说明</w:t>
          </w:r>
          <w:r>
            <w:rPr>
              <w:sz w:val="32"/>
              <w:szCs w:val="32"/>
            </w:rPr>
            <w:tab/>
          </w:r>
          <w:r>
            <w:rPr>
              <w:sz w:val="32"/>
              <w:szCs w:val="32"/>
            </w:rPr>
            <w:fldChar w:fldCharType="begin"/>
          </w:r>
          <w:r>
            <w:rPr>
              <w:sz w:val="32"/>
              <w:szCs w:val="32"/>
            </w:rPr>
            <w:instrText xml:space="preserve"> PAGEREF _Toc206602908 \h </w:instrText>
          </w:r>
          <w:r>
            <w:rPr>
              <w:sz w:val="32"/>
              <w:szCs w:val="32"/>
            </w:rPr>
            <w:fldChar w:fldCharType="separate"/>
          </w:r>
          <w:r>
            <w:rPr>
              <w:sz w:val="32"/>
              <w:szCs w:val="32"/>
            </w:rPr>
            <w:t>4</w:t>
          </w:r>
          <w:r>
            <w:rPr>
              <w:sz w:val="32"/>
              <w:szCs w:val="32"/>
            </w:rPr>
            <w:fldChar w:fldCharType="end"/>
          </w:r>
          <w:r>
            <w:rPr>
              <w:sz w:val="32"/>
              <w:szCs w:val="32"/>
            </w:rPr>
            <w:fldChar w:fldCharType="end"/>
          </w:r>
        </w:p>
        <w:p>
          <w:pPr>
            <w:pStyle w:val="14"/>
            <w:spacing w:line="640" w:lineRule="exact"/>
            <w:rPr>
              <w:rFonts w:asciiTheme="minorHAnsi" w:hAnsiTheme="minorHAnsi" w:eastAsiaTheme="minorEastAsia" w:cstheme="minorBidi"/>
              <w:sz w:val="32"/>
              <w:szCs w:val="32"/>
            </w:rPr>
          </w:pPr>
          <w:r>
            <w:fldChar w:fldCharType="begin"/>
          </w:r>
          <w:r>
            <w:instrText xml:space="preserve"> HYPERLINK \l "_Toc206602909" </w:instrText>
          </w:r>
          <w:r>
            <w:fldChar w:fldCharType="separate"/>
          </w:r>
          <w:r>
            <w:rPr>
              <w:rStyle w:val="19"/>
              <w:rFonts w:hint="eastAsia" w:eastAsia="黑体" w:cstheme="majorBidi"/>
              <w:b/>
              <w:bCs/>
              <w:sz w:val="32"/>
              <w:szCs w:val="32"/>
            </w:rPr>
            <w:t>六、一</w:t>
          </w:r>
          <w:r>
            <w:rPr>
              <w:rStyle w:val="19"/>
              <w:rFonts w:hint="eastAsia" w:eastAsia="黑体" w:cstheme="majorBidi"/>
              <w:bCs/>
              <w:sz w:val="32"/>
              <w:szCs w:val="32"/>
            </w:rPr>
            <w:t>般公共预算财政拨款基本支出决算情况说明</w:t>
          </w:r>
          <w:r>
            <w:rPr>
              <w:sz w:val="32"/>
              <w:szCs w:val="32"/>
            </w:rPr>
            <w:tab/>
          </w:r>
          <w:r>
            <w:rPr>
              <w:sz w:val="32"/>
              <w:szCs w:val="32"/>
            </w:rPr>
            <w:fldChar w:fldCharType="begin"/>
          </w:r>
          <w:r>
            <w:rPr>
              <w:sz w:val="32"/>
              <w:szCs w:val="32"/>
            </w:rPr>
            <w:instrText xml:space="preserve"> PAGEREF _Toc206602909 \h </w:instrText>
          </w:r>
          <w:r>
            <w:rPr>
              <w:sz w:val="32"/>
              <w:szCs w:val="32"/>
            </w:rPr>
            <w:fldChar w:fldCharType="separate"/>
          </w:r>
          <w:r>
            <w:rPr>
              <w:sz w:val="32"/>
              <w:szCs w:val="32"/>
            </w:rPr>
            <w:t>6</w:t>
          </w:r>
          <w:r>
            <w:rPr>
              <w:sz w:val="32"/>
              <w:szCs w:val="32"/>
            </w:rPr>
            <w:fldChar w:fldCharType="end"/>
          </w:r>
          <w:r>
            <w:rPr>
              <w:sz w:val="32"/>
              <w:szCs w:val="32"/>
            </w:rPr>
            <w:fldChar w:fldCharType="end"/>
          </w:r>
        </w:p>
        <w:p>
          <w:pPr>
            <w:pStyle w:val="14"/>
            <w:spacing w:line="660" w:lineRule="exact"/>
            <w:rPr>
              <w:rFonts w:asciiTheme="minorHAnsi" w:hAnsiTheme="minorHAnsi" w:eastAsiaTheme="minorEastAsia" w:cstheme="minorBidi"/>
              <w:sz w:val="32"/>
              <w:szCs w:val="32"/>
            </w:rPr>
          </w:pPr>
          <w:r>
            <w:fldChar w:fldCharType="begin"/>
          </w:r>
          <w:r>
            <w:instrText xml:space="preserve"> HYPERLINK \l "_Toc206602910" </w:instrText>
          </w:r>
          <w:r>
            <w:fldChar w:fldCharType="separate"/>
          </w:r>
          <w:r>
            <w:rPr>
              <w:rStyle w:val="19"/>
              <w:rFonts w:hint="eastAsia" w:eastAsia="黑体"/>
              <w:sz w:val="32"/>
              <w:szCs w:val="32"/>
            </w:rPr>
            <w:t>七、</w:t>
          </w:r>
          <w:r>
            <w:rPr>
              <w:rStyle w:val="19"/>
              <w:rFonts w:hint="eastAsia" w:eastAsia="黑体" w:cstheme="majorBidi"/>
              <w:bCs/>
              <w:sz w:val="32"/>
              <w:szCs w:val="32"/>
            </w:rPr>
            <w:t>财政拨款</w:t>
          </w:r>
          <w:r>
            <w:rPr>
              <w:rStyle w:val="19"/>
              <w:rFonts w:eastAsia="黑体" w:cstheme="majorBidi"/>
              <w:b/>
              <w:bCs/>
              <w:sz w:val="32"/>
              <w:szCs w:val="32"/>
            </w:rPr>
            <w:t>“</w:t>
          </w:r>
          <w:r>
            <w:rPr>
              <w:rStyle w:val="19"/>
              <w:rFonts w:hint="eastAsia" w:eastAsia="黑体" w:cstheme="majorBidi"/>
              <w:bCs/>
              <w:sz w:val="32"/>
              <w:szCs w:val="32"/>
            </w:rPr>
            <w:t>三公”经费支出决算情况说明</w:t>
          </w:r>
          <w:r>
            <w:rPr>
              <w:sz w:val="32"/>
              <w:szCs w:val="32"/>
            </w:rPr>
            <w:tab/>
          </w:r>
          <w:r>
            <w:rPr>
              <w:sz w:val="32"/>
              <w:szCs w:val="32"/>
            </w:rPr>
            <w:fldChar w:fldCharType="begin"/>
          </w:r>
          <w:r>
            <w:rPr>
              <w:sz w:val="32"/>
              <w:szCs w:val="32"/>
            </w:rPr>
            <w:instrText xml:space="preserve"> PAGEREF _Toc206602910 \h </w:instrText>
          </w:r>
          <w:r>
            <w:rPr>
              <w:sz w:val="32"/>
              <w:szCs w:val="32"/>
            </w:rPr>
            <w:fldChar w:fldCharType="separate"/>
          </w:r>
          <w:r>
            <w:rPr>
              <w:sz w:val="32"/>
              <w:szCs w:val="32"/>
            </w:rPr>
            <w:t>7</w:t>
          </w:r>
          <w:r>
            <w:rPr>
              <w:sz w:val="32"/>
              <w:szCs w:val="32"/>
            </w:rPr>
            <w:fldChar w:fldCharType="end"/>
          </w:r>
          <w:r>
            <w:rPr>
              <w:sz w:val="32"/>
              <w:szCs w:val="32"/>
            </w:rPr>
            <w:fldChar w:fldCharType="end"/>
          </w:r>
        </w:p>
        <w:p>
          <w:pPr>
            <w:pStyle w:val="14"/>
            <w:spacing w:line="640" w:lineRule="exact"/>
            <w:rPr>
              <w:rFonts w:asciiTheme="minorHAnsi" w:hAnsiTheme="minorHAnsi" w:eastAsiaTheme="minorEastAsia" w:cstheme="minorBidi"/>
              <w:sz w:val="32"/>
              <w:szCs w:val="32"/>
            </w:rPr>
          </w:pPr>
          <w:r>
            <w:fldChar w:fldCharType="begin"/>
          </w:r>
          <w:r>
            <w:instrText xml:space="preserve"> HYPERLINK \l "_Toc206602911" </w:instrText>
          </w:r>
          <w:r>
            <w:fldChar w:fldCharType="separate"/>
          </w:r>
          <w:r>
            <w:rPr>
              <w:rStyle w:val="19"/>
              <w:rFonts w:hint="eastAsia" w:eastAsia="黑体"/>
              <w:sz w:val="32"/>
              <w:szCs w:val="32"/>
            </w:rPr>
            <w:t>八、政府性基金预算支出决算情况说明</w:t>
          </w:r>
          <w:r>
            <w:rPr>
              <w:sz w:val="32"/>
              <w:szCs w:val="32"/>
            </w:rPr>
            <w:tab/>
          </w:r>
          <w:r>
            <w:rPr>
              <w:sz w:val="32"/>
              <w:szCs w:val="32"/>
            </w:rPr>
            <w:fldChar w:fldCharType="begin"/>
          </w:r>
          <w:r>
            <w:rPr>
              <w:sz w:val="32"/>
              <w:szCs w:val="32"/>
            </w:rPr>
            <w:instrText xml:space="preserve"> PAGEREF _Toc206602911 \h </w:instrText>
          </w:r>
          <w:r>
            <w:rPr>
              <w:sz w:val="32"/>
              <w:szCs w:val="32"/>
            </w:rPr>
            <w:fldChar w:fldCharType="separate"/>
          </w:r>
          <w:r>
            <w:rPr>
              <w:sz w:val="32"/>
              <w:szCs w:val="32"/>
            </w:rPr>
            <w:t>8</w:t>
          </w:r>
          <w:r>
            <w:rPr>
              <w:sz w:val="32"/>
              <w:szCs w:val="32"/>
            </w:rPr>
            <w:fldChar w:fldCharType="end"/>
          </w:r>
          <w:r>
            <w:rPr>
              <w:sz w:val="32"/>
              <w:szCs w:val="32"/>
            </w:rPr>
            <w:fldChar w:fldCharType="end"/>
          </w:r>
        </w:p>
        <w:p>
          <w:pPr>
            <w:pStyle w:val="14"/>
            <w:spacing w:line="640" w:lineRule="exact"/>
            <w:rPr>
              <w:rFonts w:asciiTheme="minorHAnsi" w:hAnsiTheme="minorHAnsi" w:eastAsiaTheme="minorEastAsia" w:cstheme="minorBidi"/>
              <w:sz w:val="32"/>
              <w:szCs w:val="32"/>
            </w:rPr>
          </w:pPr>
          <w:r>
            <w:fldChar w:fldCharType="begin"/>
          </w:r>
          <w:r>
            <w:instrText xml:space="preserve"> HYPERLINK \l "_Toc206602912" </w:instrText>
          </w:r>
          <w:r>
            <w:fldChar w:fldCharType="separate"/>
          </w:r>
          <w:r>
            <w:rPr>
              <w:rStyle w:val="19"/>
              <w:rFonts w:hint="eastAsia" w:eastAsia="黑体"/>
              <w:sz w:val="32"/>
              <w:szCs w:val="32"/>
            </w:rPr>
            <w:t>九、国有资本经营预算支出决算情况说明</w:t>
          </w:r>
          <w:r>
            <w:rPr>
              <w:sz w:val="32"/>
              <w:szCs w:val="32"/>
            </w:rPr>
            <w:tab/>
          </w:r>
          <w:r>
            <w:rPr>
              <w:sz w:val="32"/>
              <w:szCs w:val="32"/>
            </w:rPr>
            <w:fldChar w:fldCharType="begin"/>
          </w:r>
          <w:r>
            <w:rPr>
              <w:sz w:val="32"/>
              <w:szCs w:val="32"/>
            </w:rPr>
            <w:instrText xml:space="preserve"> PAGEREF _Toc206602912 \h </w:instrText>
          </w:r>
          <w:r>
            <w:rPr>
              <w:sz w:val="32"/>
              <w:szCs w:val="32"/>
            </w:rPr>
            <w:fldChar w:fldCharType="separate"/>
          </w:r>
          <w:r>
            <w:rPr>
              <w:sz w:val="32"/>
              <w:szCs w:val="32"/>
            </w:rPr>
            <w:t>8</w:t>
          </w:r>
          <w:r>
            <w:rPr>
              <w:sz w:val="32"/>
              <w:szCs w:val="32"/>
            </w:rPr>
            <w:fldChar w:fldCharType="end"/>
          </w:r>
          <w:r>
            <w:rPr>
              <w:sz w:val="32"/>
              <w:szCs w:val="32"/>
            </w:rPr>
            <w:fldChar w:fldCharType="end"/>
          </w:r>
        </w:p>
        <w:p>
          <w:pPr>
            <w:pStyle w:val="14"/>
            <w:spacing w:line="640" w:lineRule="exact"/>
            <w:rPr>
              <w:rFonts w:asciiTheme="minorHAnsi" w:hAnsiTheme="minorHAnsi" w:eastAsiaTheme="minorEastAsia" w:cstheme="minorBidi"/>
              <w:sz w:val="32"/>
              <w:szCs w:val="32"/>
            </w:rPr>
          </w:pPr>
          <w:r>
            <w:fldChar w:fldCharType="begin"/>
          </w:r>
          <w:r>
            <w:instrText xml:space="preserve"> HYPERLINK \l "_Toc206602913" </w:instrText>
          </w:r>
          <w:r>
            <w:fldChar w:fldCharType="separate"/>
          </w:r>
          <w:r>
            <w:rPr>
              <w:rStyle w:val="19"/>
              <w:rFonts w:hint="eastAsia" w:eastAsia="黑体"/>
              <w:sz w:val="32"/>
              <w:szCs w:val="32"/>
            </w:rPr>
            <w:t>十、其他重要事项的情况说明</w:t>
          </w:r>
          <w:r>
            <w:rPr>
              <w:sz w:val="32"/>
              <w:szCs w:val="32"/>
            </w:rPr>
            <w:tab/>
          </w:r>
          <w:r>
            <w:rPr>
              <w:sz w:val="32"/>
              <w:szCs w:val="32"/>
            </w:rPr>
            <w:fldChar w:fldCharType="begin"/>
          </w:r>
          <w:r>
            <w:rPr>
              <w:sz w:val="32"/>
              <w:szCs w:val="32"/>
            </w:rPr>
            <w:instrText xml:space="preserve"> PAGEREF _Toc206602913 \h </w:instrText>
          </w:r>
          <w:r>
            <w:rPr>
              <w:sz w:val="32"/>
              <w:szCs w:val="32"/>
            </w:rPr>
            <w:fldChar w:fldCharType="separate"/>
          </w:r>
          <w:r>
            <w:rPr>
              <w:sz w:val="32"/>
              <w:szCs w:val="32"/>
            </w:rPr>
            <w:t>8</w:t>
          </w:r>
          <w:r>
            <w:rPr>
              <w:sz w:val="32"/>
              <w:szCs w:val="32"/>
            </w:rPr>
            <w:fldChar w:fldCharType="end"/>
          </w:r>
          <w:r>
            <w:rPr>
              <w:sz w:val="32"/>
              <w:szCs w:val="32"/>
            </w:rPr>
            <w:fldChar w:fldCharType="end"/>
          </w:r>
        </w:p>
        <w:p>
          <w:pPr>
            <w:pStyle w:val="12"/>
            <w:spacing w:before="0" w:line="640" w:lineRule="exact"/>
            <w:rPr>
              <w:rFonts w:asciiTheme="minorHAnsi" w:hAnsiTheme="minorHAnsi" w:eastAsiaTheme="minorEastAsia" w:cstheme="minorBidi"/>
              <w:sz w:val="32"/>
              <w:szCs w:val="32"/>
            </w:rPr>
          </w:pPr>
          <w:r>
            <w:fldChar w:fldCharType="begin"/>
          </w:r>
          <w:r>
            <w:instrText xml:space="preserve"> HYPERLINK \l "_Toc206602914" </w:instrText>
          </w:r>
          <w:r>
            <w:fldChar w:fldCharType="separate"/>
          </w:r>
          <w:r>
            <w:rPr>
              <w:rStyle w:val="19"/>
              <w:rFonts w:hint="eastAsia" w:eastAsia="方正小标宋简体" w:cs="方正小标宋简体"/>
              <w:sz w:val="32"/>
              <w:szCs w:val="32"/>
            </w:rPr>
            <w:t>第三部分</w:t>
          </w:r>
          <w:r>
            <w:rPr>
              <w:rStyle w:val="19"/>
              <w:rFonts w:eastAsia="方正小标宋简体" w:cs="方正小标宋简体"/>
              <w:sz w:val="32"/>
              <w:szCs w:val="32"/>
            </w:rPr>
            <w:t xml:space="preserve">  </w:t>
          </w:r>
          <w:r>
            <w:rPr>
              <w:rStyle w:val="19"/>
              <w:rFonts w:hint="eastAsia" w:eastAsia="方正小标宋简体" w:cs="方正小标宋简体"/>
              <w:sz w:val="32"/>
              <w:szCs w:val="32"/>
            </w:rPr>
            <w:t>名词解释</w:t>
          </w:r>
          <w:r>
            <w:rPr>
              <w:sz w:val="32"/>
              <w:szCs w:val="32"/>
            </w:rPr>
            <w:tab/>
          </w:r>
          <w:r>
            <w:rPr>
              <w:sz w:val="32"/>
              <w:szCs w:val="32"/>
            </w:rPr>
            <w:fldChar w:fldCharType="begin"/>
          </w:r>
          <w:r>
            <w:rPr>
              <w:sz w:val="32"/>
              <w:szCs w:val="32"/>
            </w:rPr>
            <w:instrText xml:space="preserve"> PAGEREF _Toc206602914 \h </w:instrText>
          </w:r>
          <w:r>
            <w:rPr>
              <w:sz w:val="32"/>
              <w:szCs w:val="32"/>
            </w:rPr>
            <w:fldChar w:fldCharType="separate"/>
          </w:r>
          <w:r>
            <w:rPr>
              <w:sz w:val="32"/>
              <w:szCs w:val="32"/>
            </w:rPr>
            <w:t>10</w:t>
          </w:r>
          <w:r>
            <w:rPr>
              <w:sz w:val="32"/>
              <w:szCs w:val="32"/>
            </w:rPr>
            <w:fldChar w:fldCharType="end"/>
          </w:r>
          <w:r>
            <w:rPr>
              <w:sz w:val="32"/>
              <w:szCs w:val="32"/>
            </w:rPr>
            <w:fldChar w:fldCharType="end"/>
          </w:r>
        </w:p>
        <w:p>
          <w:pPr>
            <w:pStyle w:val="12"/>
            <w:spacing w:before="0" w:line="640" w:lineRule="exact"/>
            <w:rPr>
              <w:rFonts w:asciiTheme="minorHAnsi" w:hAnsiTheme="minorHAnsi" w:eastAsiaTheme="minorEastAsia" w:cstheme="minorBidi"/>
              <w:sz w:val="32"/>
              <w:szCs w:val="32"/>
            </w:rPr>
          </w:pPr>
          <w:r>
            <w:fldChar w:fldCharType="begin"/>
          </w:r>
          <w:r>
            <w:instrText xml:space="preserve"> HYPERLINK \l "_Toc206602915" </w:instrText>
          </w:r>
          <w:r>
            <w:fldChar w:fldCharType="separate"/>
          </w:r>
          <w:r>
            <w:rPr>
              <w:rStyle w:val="19"/>
              <w:rFonts w:hint="eastAsia" w:eastAsia="方正小标宋简体" w:cs="方正小标宋简体"/>
              <w:sz w:val="32"/>
              <w:szCs w:val="32"/>
            </w:rPr>
            <w:t>第四部分</w:t>
          </w:r>
          <w:r>
            <w:rPr>
              <w:rStyle w:val="19"/>
              <w:rFonts w:eastAsia="方正小标宋简体" w:cs="方正小标宋简体"/>
              <w:sz w:val="32"/>
              <w:szCs w:val="32"/>
            </w:rPr>
            <w:t xml:space="preserve">  </w:t>
          </w:r>
          <w:r>
            <w:rPr>
              <w:rStyle w:val="19"/>
              <w:rFonts w:hint="eastAsia" w:eastAsia="方正小标宋简体" w:cs="方正小标宋简体"/>
              <w:sz w:val="32"/>
              <w:szCs w:val="32"/>
            </w:rPr>
            <w:t>附件</w:t>
          </w:r>
          <w:r>
            <w:rPr>
              <w:sz w:val="32"/>
              <w:szCs w:val="32"/>
            </w:rPr>
            <w:tab/>
          </w:r>
          <w:r>
            <w:rPr>
              <w:sz w:val="32"/>
              <w:szCs w:val="32"/>
            </w:rPr>
            <w:fldChar w:fldCharType="begin"/>
          </w:r>
          <w:r>
            <w:rPr>
              <w:sz w:val="32"/>
              <w:szCs w:val="32"/>
            </w:rPr>
            <w:instrText xml:space="preserve"> PAGEREF _Toc206602915 \h </w:instrText>
          </w:r>
          <w:r>
            <w:rPr>
              <w:sz w:val="32"/>
              <w:szCs w:val="32"/>
            </w:rPr>
            <w:fldChar w:fldCharType="separate"/>
          </w:r>
          <w:r>
            <w:rPr>
              <w:sz w:val="32"/>
              <w:szCs w:val="32"/>
            </w:rPr>
            <w:t>13</w:t>
          </w:r>
          <w:r>
            <w:rPr>
              <w:sz w:val="32"/>
              <w:szCs w:val="32"/>
            </w:rPr>
            <w:fldChar w:fldCharType="end"/>
          </w:r>
          <w:r>
            <w:rPr>
              <w:sz w:val="32"/>
              <w:szCs w:val="32"/>
            </w:rPr>
            <w:fldChar w:fldCharType="end"/>
          </w:r>
        </w:p>
        <w:p>
          <w:pPr>
            <w:pStyle w:val="12"/>
            <w:spacing w:before="0" w:line="640" w:lineRule="exact"/>
            <w:rPr>
              <w:rFonts w:asciiTheme="minorHAnsi" w:hAnsiTheme="minorHAnsi" w:eastAsiaTheme="minorEastAsia" w:cstheme="minorBidi"/>
              <w:sz w:val="32"/>
              <w:szCs w:val="32"/>
            </w:rPr>
          </w:pPr>
          <w:r>
            <w:fldChar w:fldCharType="begin"/>
          </w:r>
          <w:r>
            <w:instrText xml:space="preserve"> HYPERLINK \l "_Toc206602916" </w:instrText>
          </w:r>
          <w:r>
            <w:fldChar w:fldCharType="separate"/>
          </w:r>
          <w:r>
            <w:rPr>
              <w:rStyle w:val="19"/>
              <w:rFonts w:hint="eastAsia" w:eastAsia="方正小标宋简体" w:cs="方正小标宋简体"/>
              <w:sz w:val="32"/>
              <w:szCs w:val="32"/>
            </w:rPr>
            <w:t>第五部分</w:t>
          </w:r>
          <w:r>
            <w:rPr>
              <w:rStyle w:val="19"/>
              <w:rFonts w:eastAsia="方正小标宋简体" w:cs="方正小标宋简体"/>
              <w:sz w:val="32"/>
              <w:szCs w:val="32"/>
            </w:rPr>
            <w:t xml:space="preserve">  </w:t>
          </w:r>
          <w:r>
            <w:rPr>
              <w:rStyle w:val="19"/>
              <w:rFonts w:hint="eastAsia" w:eastAsia="方正小标宋简体" w:cs="方正小标宋简体"/>
              <w:sz w:val="32"/>
              <w:szCs w:val="32"/>
            </w:rPr>
            <w:t>附表</w:t>
          </w:r>
          <w:r>
            <w:rPr>
              <w:sz w:val="32"/>
              <w:szCs w:val="32"/>
            </w:rPr>
            <w:tab/>
          </w:r>
          <w:r>
            <w:rPr>
              <w:sz w:val="32"/>
              <w:szCs w:val="32"/>
            </w:rPr>
            <w:fldChar w:fldCharType="begin"/>
          </w:r>
          <w:r>
            <w:rPr>
              <w:sz w:val="32"/>
              <w:szCs w:val="32"/>
            </w:rPr>
            <w:instrText xml:space="preserve"> PAGEREF _Toc206602916 \h </w:instrText>
          </w:r>
          <w:r>
            <w:rPr>
              <w:sz w:val="32"/>
              <w:szCs w:val="32"/>
            </w:rPr>
            <w:fldChar w:fldCharType="separate"/>
          </w:r>
          <w:r>
            <w:rPr>
              <w:sz w:val="32"/>
              <w:szCs w:val="32"/>
            </w:rPr>
            <w:t>17</w:t>
          </w:r>
          <w:r>
            <w:rPr>
              <w:sz w:val="32"/>
              <w:szCs w:val="32"/>
            </w:rPr>
            <w:fldChar w:fldCharType="end"/>
          </w:r>
          <w:r>
            <w:rPr>
              <w:sz w:val="32"/>
              <w:szCs w:val="32"/>
            </w:rPr>
            <w:fldChar w:fldCharType="end"/>
          </w:r>
        </w:p>
        <w:p>
          <w:pPr>
            <w:pStyle w:val="14"/>
            <w:spacing w:line="640" w:lineRule="exact"/>
            <w:rPr>
              <w:rFonts w:asciiTheme="minorHAnsi" w:hAnsiTheme="minorHAnsi" w:eastAsiaTheme="minorEastAsia" w:cstheme="minorBidi"/>
              <w:sz w:val="32"/>
              <w:szCs w:val="32"/>
            </w:rPr>
          </w:pPr>
          <w:r>
            <w:fldChar w:fldCharType="begin"/>
          </w:r>
          <w:r>
            <w:instrText xml:space="preserve"> HYPERLINK \l "_Toc206602917" </w:instrText>
          </w:r>
          <w:r>
            <w:fldChar w:fldCharType="separate"/>
          </w:r>
          <w:r>
            <w:rPr>
              <w:rStyle w:val="19"/>
              <w:rFonts w:hint="eastAsia" w:ascii="仿宋_GB2312" w:eastAsia="仿宋_GB2312"/>
              <w:sz w:val="32"/>
              <w:szCs w:val="32"/>
            </w:rPr>
            <w:t>一、收入支出决算总表</w:t>
          </w:r>
          <w:r>
            <w:rPr>
              <w:sz w:val="32"/>
              <w:szCs w:val="32"/>
            </w:rPr>
            <w:tab/>
          </w:r>
          <w:r>
            <w:rPr>
              <w:sz w:val="32"/>
              <w:szCs w:val="32"/>
            </w:rPr>
            <w:fldChar w:fldCharType="begin"/>
          </w:r>
          <w:r>
            <w:rPr>
              <w:sz w:val="32"/>
              <w:szCs w:val="32"/>
            </w:rPr>
            <w:instrText xml:space="preserve"> PAGEREF _Toc206602917 \h </w:instrText>
          </w:r>
          <w:r>
            <w:rPr>
              <w:sz w:val="32"/>
              <w:szCs w:val="32"/>
            </w:rPr>
            <w:fldChar w:fldCharType="separate"/>
          </w:r>
          <w:r>
            <w:rPr>
              <w:sz w:val="32"/>
              <w:szCs w:val="32"/>
            </w:rPr>
            <w:t>17</w:t>
          </w:r>
          <w:r>
            <w:rPr>
              <w:sz w:val="32"/>
              <w:szCs w:val="32"/>
            </w:rPr>
            <w:fldChar w:fldCharType="end"/>
          </w:r>
          <w:r>
            <w:rPr>
              <w:sz w:val="32"/>
              <w:szCs w:val="32"/>
            </w:rPr>
            <w:fldChar w:fldCharType="end"/>
          </w:r>
        </w:p>
        <w:p>
          <w:pPr>
            <w:pStyle w:val="14"/>
            <w:spacing w:line="640" w:lineRule="exact"/>
            <w:rPr>
              <w:rFonts w:asciiTheme="minorHAnsi" w:hAnsiTheme="minorHAnsi" w:eastAsiaTheme="minorEastAsia" w:cstheme="minorBidi"/>
              <w:sz w:val="32"/>
              <w:szCs w:val="32"/>
            </w:rPr>
          </w:pPr>
          <w:r>
            <w:fldChar w:fldCharType="begin"/>
          </w:r>
          <w:r>
            <w:instrText xml:space="preserve"> HYPERLINK \l "_Toc206602918" </w:instrText>
          </w:r>
          <w:r>
            <w:fldChar w:fldCharType="separate"/>
          </w:r>
          <w:r>
            <w:rPr>
              <w:rStyle w:val="19"/>
              <w:rFonts w:hint="eastAsia" w:ascii="仿宋_GB2312" w:eastAsia="仿宋_GB2312"/>
              <w:sz w:val="32"/>
              <w:szCs w:val="32"/>
            </w:rPr>
            <w:t>二、收入决算表</w:t>
          </w:r>
          <w:r>
            <w:rPr>
              <w:sz w:val="32"/>
              <w:szCs w:val="32"/>
            </w:rPr>
            <w:tab/>
          </w:r>
          <w:r>
            <w:rPr>
              <w:sz w:val="32"/>
              <w:szCs w:val="32"/>
            </w:rPr>
            <w:fldChar w:fldCharType="begin"/>
          </w:r>
          <w:r>
            <w:rPr>
              <w:sz w:val="32"/>
              <w:szCs w:val="32"/>
            </w:rPr>
            <w:instrText xml:space="preserve"> PAGEREF _Toc206602918 \h </w:instrText>
          </w:r>
          <w:r>
            <w:rPr>
              <w:sz w:val="32"/>
              <w:szCs w:val="32"/>
            </w:rPr>
            <w:fldChar w:fldCharType="separate"/>
          </w:r>
          <w:r>
            <w:rPr>
              <w:sz w:val="32"/>
              <w:szCs w:val="32"/>
            </w:rPr>
            <w:t>17</w:t>
          </w:r>
          <w:r>
            <w:rPr>
              <w:sz w:val="32"/>
              <w:szCs w:val="32"/>
            </w:rPr>
            <w:fldChar w:fldCharType="end"/>
          </w:r>
          <w:r>
            <w:rPr>
              <w:sz w:val="32"/>
              <w:szCs w:val="32"/>
            </w:rPr>
            <w:fldChar w:fldCharType="end"/>
          </w:r>
        </w:p>
        <w:p>
          <w:pPr>
            <w:pStyle w:val="14"/>
            <w:spacing w:line="640" w:lineRule="exact"/>
            <w:rPr>
              <w:rFonts w:asciiTheme="minorHAnsi" w:hAnsiTheme="minorHAnsi" w:eastAsiaTheme="minorEastAsia" w:cstheme="minorBidi"/>
              <w:sz w:val="32"/>
              <w:szCs w:val="32"/>
            </w:rPr>
          </w:pPr>
          <w:r>
            <w:fldChar w:fldCharType="begin"/>
          </w:r>
          <w:r>
            <w:instrText xml:space="preserve"> HYPERLINK \l "_Toc206602919" </w:instrText>
          </w:r>
          <w:r>
            <w:fldChar w:fldCharType="separate"/>
          </w:r>
          <w:r>
            <w:rPr>
              <w:rStyle w:val="19"/>
              <w:rFonts w:hint="eastAsia" w:ascii="仿宋_GB2312" w:eastAsia="仿宋_GB2312"/>
              <w:sz w:val="32"/>
              <w:szCs w:val="32"/>
            </w:rPr>
            <w:t>三、支出决算表</w:t>
          </w:r>
          <w:r>
            <w:rPr>
              <w:sz w:val="32"/>
              <w:szCs w:val="32"/>
            </w:rPr>
            <w:tab/>
          </w:r>
          <w:r>
            <w:rPr>
              <w:sz w:val="32"/>
              <w:szCs w:val="32"/>
            </w:rPr>
            <w:fldChar w:fldCharType="begin"/>
          </w:r>
          <w:r>
            <w:rPr>
              <w:sz w:val="32"/>
              <w:szCs w:val="32"/>
            </w:rPr>
            <w:instrText xml:space="preserve"> PAGEREF _Toc206602919 \h </w:instrText>
          </w:r>
          <w:r>
            <w:rPr>
              <w:sz w:val="32"/>
              <w:szCs w:val="32"/>
            </w:rPr>
            <w:fldChar w:fldCharType="separate"/>
          </w:r>
          <w:r>
            <w:rPr>
              <w:sz w:val="32"/>
              <w:szCs w:val="32"/>
            </w:rPr>
            <w:t>17</w:t>
          </w:r>
          <w:r>
            <w:rPr>
              <w:sz w:val="32"/>
              <w:szCs w:val="32"/>
            </w:rPr>
            <w:fldChar w:fldCharType="end"/>
          </w:r>
          <w:r>
            <w:rPr>
              <w:sz w:val="32"/>
              <w:szCs w:val="32"/>
            </w:rPr>
            <w:fldChar w:fldCharType="end"/>
          </w:r>
        </w:p>
        <w:p>
          <w:pPr>
            <w:pStyle w:val="14"/>
            <w:spacing w:line="640" w:lineRule="exact"/>
            <w:rPr>
              <w:rFonts w:asciiTheme="minorHAnsi" w:hAnsiTheme="minorHAnsi" w:eastAsiaTheme="minorEastAsia" w:cstheme="minorBidi"/>
              <w:sz w:val="32"/>
              <w:szCs w:val="32"/>
            </w:rPr>
          </w:pPr>
          <w:r>
            <w:fldChar w:fldCharType="begin"/>
          </w:r>
          <w:r>
            <w:instrText xml:space="preserve"> HYPERLINK \l "_Toc206602920" </w:instrText>
          </w:r>
          <w:r>
            <w:fldChar w:fldCharType="separate"/>
          </w:r>
          <w:r>
            <w:rPr>
              <w:rStyle w:val="19"/>
              <w:rFonts w:hint="eastAsia" w:ascii="仿宋_GB2312" w:eastAsia="仿宋_GB2312"/>
              <w:sz w:val="32"/>
              <w:szCs w:val="32"/>
            </w:rPr>
            <w:t>四、财政拨款收入支出决算总表</w:t>
          </w:r>
          <w:r>
            <w:rPr>
              <w:sz w:val="32"/>
              <w:szCs w:val="32"/>
            </w:rPr>
            <w:tab/>
          </w:r>
          <w:r>
            <w:rPr>
              <w:sz w:val="32"/>
              <w:szCs w:val="32"/>
            </w:rPr>
            <w:fldChar w:fldCharType="begin"/>
          </w:r>
          <w:r>
            <w:rPr>
              <w:sz w:val="32"/>
              <w:szCs w:val="32"/>
            </w:rPr>
            <w:instrText xml:space="preserve"> PAGEREF _Toc206602920 \h </w:instrText>
          </w:r>
          <w:r>
            <w:rPr>
              <w:sz w:val="32"/>
              <w:szCs w:val="32"/>
            </w:rPr>
            <w:fldChar w:fldCharType="separate"/>
          </w:r>
          <w:r>
            <w:rPr>
              <w:sz w:val="32"/>
              <w:szCs w:val="32"/>
            </w:rPr>
            <w:t>17</w:t>
          </w:r>
          <w:r>
            <w:rPr>
              <w:sz w:val="32"/>
              <w:szCs w:val="32"/>
            </w:rPr>
            <w:fldChar w:fldCharType="end"/>
          </w:r>
          <w:r>
            <w:rPr>
              <w:sz w:val="32"/>
              <w:szCs w:val="32"/>
            </w:rPr>
            <w:fldChar w:fldCharType="end"/>
          </w:r>
        </w:p>
        <w:p>
          <w:pPr>
            <w:pStyle w:val="14"/>
            <w:spacing w:line="640" w:lineRule="exact"/>
            <w:rPr>
              <w:rFonts w:asciiTheme="minorHAnsi" w:hAnsiTheme="minorHAnsi" w:eastAsiaTheme="minorEastAsia" w:cstheme="minorBidi"/>
              <w:sz w:val="32"/>
              <w:szCs w:val="32"/>
            </w:rPr>
          </w:pPr>
          <w:r>
            <w:fldChar w:fldCharType="begin"/>
          </w:r>
          <w:r>
            <w:instrText xml:space="preserve"> HYPERLINK \l "_Toc206602921" </w:instrText>
          </w:r>
          <w:r>
            <w:fldChar w:fldCharType="separate"/>
          </w:r>
          <w:r>
            <w:rPr>
              <w:rStyle w:val="19"/>
              <w:rFonts w:hint="eastAsia" w:ascii="仿宋_GB2312" w:eastAsia="仿宋_GB2312"/>
              <w:sz w:val="32"/>
              <w:szCs w:val="32"/>
            </w:rPr>
            <w:t>五、财政拨款支出决算明细表</w:t>
          </w:r>
          <w:r>
            <w:rPr>
              <w:sz w:val="32"/>
              <w:szCs w:val="32"/>
            </w:rPr>
            <w:tab/>
          </w:r>
          <w:r>
            <w:rPr>
              <w:sz w:val="32"/>
              <w:szCs w:val="32"/>
            </w:rPr>
            <w:fldChar w:fldCharType="begin"/>
          </w:r>
          <w:r>
            <w:rPr>
              <w:sz w:val="32"/>
              <w:szCs w:val="32"/>
            </w:rPr>
            <w:instrText xml:space="preserve"> PAGEREF _Toc206602921 \h </w:instrText>
          </w:r>
          <w:r>
            <w:rPr>
              <w:sz w:val="32"/>
              <w:szCs w:val="32"/>
            </w:rPr>
            <w:fldChar w:fldCharType="separate"/>
          </w:r>
          <w:r>
            <w:rPr>
              <w:sz w:val="32"/>
              <w:szCs w:val="32"/>
            </w:rPr>
            <w:t>17</w:t>
          </w:r>
          <w:r>
            <w:rPr>
              <w:sz w:val="32"/>
              <w:szCs w:val="32"/>
            </w:rPr>
            <w:fldChar w:fldCharType="end"/>
          </w:r>
          <w:r>
            <w:rPr>
              <w:sz w:val="32"/>
              <w:szCs w:val="32"/>
            </w:rPr>
            <w:fldChar w:fldCharType="end"/>
          </w:r>
        </w:p>
        <w:p>
          <w:pPr>
            <w:pStyle w:val="14"/>
            <w:spacing w:line="640" w:lineRule="exact"/>
            <w:rPr>
              <w:rFonts w:asciiTheme="minorHAnsi" w:hAnsiTheme="minorHAnsi" w:eastAsiaTheme="minorEastAsia" w:cstheme="minorBidi"/>
              <w:sz w:val="32"/>
              <w:szCs w:val="32"/>
            </w:rPr>
          </w:pPr>
          <w:r>
            <w:fldChar w:fldCharType="begin"/>
          </w:r>
          <w:r>
            <w:instrText xml:space="preserve"> HYPERLINK \l "_Toc206602922" </w:instrText>
          </w:r>
          <w:r>
            <w:fldChar w:fldCharType="separate"/>
          </w:r>
          <w:r>
            <w:rPr>
              <w:rStyle w:val="19"/>
              <w:rFonts w:hint="eastAsia" w:ascii="仿宋_GB2312" w:eastAsia="仿宋_GB2312"/>
              <w:sz w:val="32"/>
              <w:szCs w:val="32"/>
            </w:rPr>
            <w:t>六、一般公共预算财政拨款支出决算表</w:t>
          </w:r>
          <w:r>
            <w:rPr>
              <w:sz w:val="32"/>
              <w:szCs w:val="32"/>
            </w:rPr>
            <w:tab/>
          </w:r>
          <w:r>
            <w:rPr>
              <w:sz w:val="32"/>
              <w:szCs w:val="32"/>
            </w:rPr>
            <w:fldChar w:fldCharType="begin"/>
          </w:r>
          <w:r>
            <w:rPr>
              <w:sz w:val="32"/>
              <w:szCs w:val="32"/>
            </w:rPr>
            <w:instrText xml:space="preserve"> PAGEREF _Toc206602922 \h </w:instrText>
          </w:r>
          <w:r>
            <w:rPr>
              <w:sz w:val="32"/>
              <w:szCs w:val="32"/>
            </w:rPr>
            <w:fldChar w:fldCharType="separate"/>
          </w:r>
          <w:r>
            <w:rPr>
              <w:sz w:val="32"/>
              <w:szCs w:val="32"/>
            </w:rPr>
            <w:t>17</w:t>
          </w:r>
          <w:r>
            <w:rPr>
              <w:sz w:val="32"/>
              <w:szCs w:val="32"/>
            </w:rPr>
            <w:fldChar w:fldCharType="end"/>
          </w:r>
          <w:r>
            <w:rPr>
              <w:sz w:val="32"/>
              <w:szCs w:val="32"/>
            </w:rPr>
            <w:fldChar w:fldCharType="end"/>
          </w:r>
        </w:p>
        <w:p>
          <w:pPr>
            <w:pStyle w:val="14"/>
            <w:spacing w:line="640" w:lineRule="exact"/>
            <w:rPr>
              <w:rFonts w:asciiTheme="minorHAnsi" w:hAnsiTheme="minorHAnsi" w:eastAsiaTheme="minorEastAsia" w:cstheme="minorBidi"/>
              <w:sz w:val="32"/>
              <w:szCs w:val="32"/>
            </w:rPr>
          </w:pPr>
          <w:r>
            <w:fldChar w:fldCharType="begin"/>
          </w:r>
          <w:r>
            <w:instrText xml:space="preserve"> HYPERLINK \l "_Toc206602923" </w:instrText>
          </w:r>
          <w:r>
            <w:fldChar w:fldCharType="separate"/>
          </w:r>
          <w:r>
            <w:rPr>
              <w:rStyle w:val="19"/>
              <w:rFonts w:hint="eastAsia" w:ascii="仿宋_GB2312" w:eastAsia="仿宋_GB2312"/>
              <w:sz w:val="32"/>
              <w:szCs w:val="32"/>
            </w:rPr>
            <w:t>七、一般公共预算财政拨款支出决算明细表</w:t>
          </w:r>
          <w:r>
            <w:rPr>
              <w:sz w:val="32"/>
              <w:szCs w:val="32"/>
            </w:rPr>
            <w:tab/>
          </w:r>
          <w:r>
            <w:rPr>
              <w:sz w:val="32"/>
              <w:szCs w:val="32"/>
            </w:rPr>
            <w:fldChar w:fldCharType="begin"/>
          </w:r>
          <w:r>
            <w:rPr>
              <w:sz w:val="32"/>
              <w:szCs w:val="32"/>
            </w:rPr>
            <w:instrText xml:space="preserve"> PAGEREF _Toc206602923 \h </w:instrText>
          </w:r>
          <w:r>
            <w:rPr>
              <w:sz w:val="32"/>
              <w:szCs w:val="32"/>
            </w:rPr>
            <w:fldChar w:fldCharType="separate"/>
          </w:r>
          <w:r>
            <w:rPr>
              <w:sz w:val="32"/>
              <w:szCs w:val="32"/>
            </w:rPr>
            <w:t>17</w:t>
          </w:r>
          <w:r>
            <w:rPr>
              <w:sz w:val="32"/>
              <w:szCs w:val="32"/>
            </w:rPr>
            <w:fldChar w:fldCharType="end"/>
          </w:r>
          <w:r>
            <w:rPr>
              <w:sz w:val="32"/>
              <w:szCs w:val="32"/>
            </w:rPr>
            <w:fldChar w:fldCharType="end"/>
          </w:r>
        </w:p>
        <w:p>
          <w:pPr>
            <w:pStyle w:val="14"/>
            <w:spacing w:line="640" w:lineRule="exact"/>
            <w:rPr>
              <w:rFonts w:asciiTheme="minorHAnsi" w:hAnsiTheme="minorHAnsi" w:eastAsiaTheme="minorEastAsia" w:cstheme="minorBidi"/>
              <w:sz w:val="32"/>
              <w:szCs w:val="32"/>
            </w:rPr>
          </w:pPr>
          <w:r>
            <w:fldChar w:fldCharType="begin"/>
          </w:r>
          <w:r>
            <w:instrText xml:space="preserve"> HYPERLINK \l "_Toc206602924" </w:instrText>
          </w:r>
          <w:r>
            <w:fldChar w:fldCharType="separate"/>
          </w:r>
          <w:r>
            <w:rPr>
              <w:rStyle w:val="19"/>
              <w:rFonts w:hint="eastAsia" w:ascii="仿宋_GB2312" w:eastAsia="仿宋_GB2312"/>
              <w:sz w:val="32"/>
              <w:szCs w:val="32"/>
            </w:rPr>
            <w:t>八、一般公共预算财政拨款基本支出决算表</w:t>
          </w:r>
          <w:r>
            <w:rPr>
              <w:sz w:val="32"/>
              <w:szCs w:val="32"/>
            </w:rPr>
            <w:tab/>
          </w:r>
          <w:r>
            <w:rPr>
              <w:sz w:val="32"/>
              <w:szCs w:val="32"/>
            </w:rPr>
            <w:fldChar w:fldCharType="begin"/>
          </w:r>
          <w:r>
            <w:rPr>
              <w:sz w:val="32"/>
              <w:szCs w:val="32"/>
            </w:rPr>
            <w:instrText xml:space="preserve"> PAGEREF _Toc206602924 \h </w:instrText>
          </w:r>
          <w:r>
            <w:rPr>
              <w:sz w:val="32"/>
              <w:szCs w:val="32"/>
            </w:rPr>
            <w:fldChar w:fldCharType="separate"/>
          </w:r>
          <w:r>
            <w:rPr>
              <w:sz w:val="32"/>
              <w:szCs w:val="32"/>
            </w:rPr>
            <w:t>17</w:t>
          </w:r>
          <w:r>
            <w:rPr>
              <w:sz w:val="32"/>
              <w:szCs w:val="32"/>
            </w:rPr>
            <w:fldChar w:fldCharType="end"/>
          </w:r>
          <w:r>
            <w:rPr>
              <w:sz w:val="32"/>
              <w:szCs w:val="32"/>
            </w:rPr>
            <w:fldChar w:fldCharType="end"/>
          </w:r>
        </w:p>
        <w:p>
          <w:pPr>
            <w:pStyle w:val="14"/>
            <w:spacing w:line="640" w:lineRule="exact"/>
            <w:rPr>
              <w:rFonts w:asciiTheme="minorHAnsi" w:hAnsiTheme="minorHAnsi" w:eastAsiaTheme="minorEastAsia" w:cstheme="minorBidi"/>
              <w:sz w:val="32"/>
              <w:szCs w:val="32"/>
            </w:rPr>
          </w:pPr>
          <w:r>
            <w:fldChar w:fldCharType="begin"/>
          </w:r>
          <w:r>
            <w:instrText xml:space="preserve"> HYPERLINK \l "_Toc206602925" </w:instrText>
          </w:r>
          <w:r>
            <w:fldChar w:fldCharType="separate"/>
          </w:r>
          <w:r>
            <w:rPr>
              <w:rStyle w:val="19"/>
              <w:rFonts w:hint="eastAsia" w:ascii="仿宋_GB2312" w:eastAsia="仿宋_GB2312"/>
              <w:sz w:val="32"/>
              <w:szCs w:val="32"/>
            </w:rPr>
            <w:t>九、一般公共预算财政拨款项目支出决算表</w:t>
          </w:r>
          <w:r>
            <w:rPr>
              <w:sz w:val="32"/>
              <w:szCs w:val="32"/>
            </w:rPr>
            <w:tab/>
          </w:r>
          <w:r>
            <w:rPr>
              <w:sz w:val="32"/>
              <w:szCs w:val="32"/>
            </w:rPr>
            <w:fldChar w:fldCharType="begin"/>
          </w:r>
          <w:r>
            <w:rPr>
              <w:sz w:val="32"/>
              <w:szCs w:val="32"/>
            </w:rPr>
            <w:instrText xml:space="preserve"> PAGEREF _Toc206602925 \h </w:instrText>
          </w:r>
          <w:r>
            <w:rPr>
              <w:sz w:val="32"/>
              <w:szCs w:val="32"/>
            </w:rPr>
            <w:fldChar w:fldCharType="separate"/>
          </w:r>
          <w:r>
            <w:rPr>
              <w:sz w:val="32"/>
              <w:szCs w:val="32"/>
            </w:rPr>
            <w:t>17</w:t>
          </w:r>
          <w:r>
            <w:rPr>
              <w:sz w:val="32"/>
              <w:szCs w:val="32"/>
            </w:rPr>
            <w:fldChar w:fldCharType="end"/>
          </w:r>
          <w:r>
            <w:rPr>
              <w:sz w:val="32"/>
              <w:szCs w:val="32"/>
            </w:rPr>
            <w:fldChar w:fldCharType="end"/>
          </w:r>
        </w:p>
        <w:p>
          <w:pPr>
            <w:pStyle w:val="14"/>
            <w:spacing w:line="640" w:lineRule="exact"/>
            <w:rPr>
              <w:rFonts w:asciiTheme="minorHAnsi" w:hAnsiTheme="minorHAnsi" w:eastAsiaTheme="minorEastAsia" w:cstheme="minorBidi"/>
              <w:sz w:val="32"/>
              <w:szCs w:val="32"/>
            </w:rPr>
          </w:pPr>
          <w:r>
            <w:fldChar w:fldCharType="begin"/>
          </w:r>
          <w:r>
            <w:instrText xml:space="preserve"> HYPERLINK \l "_Toc206602926" </w:instrText>
          </w:r>
          <w:r>
            <w:fldChar w:fldCharType="separate"/>
          </w:r>
          <w:r>
            <w:rPr>
              <w:rStyle w:val="19"/>
              <w:rFonts w:hint="eastAsia" w:ascii="仿宋_GB2312" w:eastAsia="仿宋_GB2312"/>
              <w:sz w:val="32"/>
              <w:szCs w:val="32"/>
            </w:rPr>
            <w:t>十、政府性基金预算财政拨款收入支出决算表</w:t>
          </w:r>
          <w:r>
            <w:rPr>
              <w:sz w:val="32"/>
              <w:szCs w:val="32"/>
            </w:rPr>
            <w:tab/>
          </w:r>
          <w:r>
            <w:rPr>
              <w:sz w:val="32"/>
              <w:szCs w:val="32"/>
            </w:rPr>
            <w:fldChar w:fldCharType="begin"/>
          </w:r>
          <w:r>
            <w:rPr>
              <w:sz w:val="32"/>
              <w:szCs w:val="32"/>
            </w:rPr>
            <w:instrText xml:space="preserve"> PAGEREF _Toc206602926 \h </w:instrText>
          </w:r>
          <w:r>
            <w:rPr>
              <w:sz w:val="32"/>
              <w:szCs w:val="32"/>
            </w:rPr>
            <w:fldChar w:fldCharType="separate"/>
          </w:r>
          <w:r>
            <w:rPr>
              <w:sz w:val="32"/>
              <w:szCs w:val="32"/>
            </w:rPr>
            <w:t>17</w:t>
          </w:r>
          <w:r>
            <w:rPr>
              <w:sz w:val="32"/>
              <w:szCs w:val="32"/>
            </w:rPr>
            <w:fldChar w:fldCharType="end"/>
          </w:r>
          <w:r>
            <w:rPr>
              <w:sz w:val="32"/>
              <w:szCs w:val="32"/>
            </w:rPr>
            <w:fldChar w:fldCharType="end"/>
          </w:r>
        </w:p>
        <w:p>
          <w:pPr>
            <w:pStyle w:val="14"/>
            <w:spacing w:line="640" w:lineRule="exact"/>
            <w:rPr>
              <w:rFonts w:asciiTheme="minorHAnsi" w:hAnsiTheme="minorHAnsi" w:eastAsiaTheme="minorEastAsia" w:cstheme="minorBidi"/>
              <w:sz w:val="32"/>
              <w:szCs w:val="32"/>
            </w:rPr>
          </w:pPr>
          <w:r>
            <w:fldChar w:fldCharType="begin"/>
          </w:r>
          <w:r>
            <w:instrText xml:space="preserve"> HYPERLINK \l "_Toc206602927" </w:instrText>
          </w:r>
          <w:r>
            <w:fldChar w:fldCharType="separate"/>
          </w:r>
          <w:r>
            <w:rPr>
              <w:rStyle w:val="19"/>
              <w:rFonts w:hint="eastAsia" w:ascii="仿宋_GB2312" w:eastAsia="仿宋_GB2312"/>
              <w:sz w:val="32"/>
              <w:szCs w:val="32"/>
            </w:rPr>
            <w:t>十一、国有资本经营预算财政拨款收入支出决算表</w:t>
          </w:r>
          <w:r>
            <w:rPr>
              <w:sz w:val="32"/>
              <w:szCs w:val="32"/>
            </w:rPr>
            <w:tab/>
          </w:r>
          <w:r>
            <w:rPr>
              <w:sz w:val="32"/>
              <w:szCs w:val="32"/>
            </w:rPr>
            <w:fldChar w:fldCharType="begin"/>
          </w:r>
          <w:r>
            <w:rPr>
              <w:sz w:val="32"/>
              <w:szCs w:val="32"/>
            </w:rPr>
            <w:instrText xml:space="preserve"> PAGEREF _Toc206602927 \h </w:instrText>
          </w:r>
          <w:r>
            <w:rPr>
              <w:sz w:val="32"/>
              <w:szCs w:val="32"/>
            </w:rPr>
            <w:fldChar w:fldCharType="separate"/>
          </w:r>
          <w:r>
            <w:rPr>
              <w:sz w:val="32"/>
              <w:szCs w:val="32"/>
            </w:rPr>
            <w:t>17</w:t>
          </w:r>
          <w:r>
            <w:rPr>
              <w:sz w:val="32"/>
              <w:szCs w:val="32"/>
            </w:rPr>
            <w:fldChar w:fldCharType="end"/>
          </w:r>
          <w:r>
            <w:rPr>
              <w:sz w:val="32"/>
              <w:szCs w:val="32"/>
            </w:rPr>
            <w:fldChar w:fldCharType="end"/>
          </w:r>
        </w:p>
        <w:p>
          <w:pPr>
            <w:pStyle w:val="14"/>
            <w:spacing w:line="640" w:lineRule="exact"/>
            <w:rPr>
              <w:rFonts w:asciiTheme="minorHAnsi" w:hAnsiTheme="minorHAnsi" w:eastAsiaTheme="minorEastAsia" w:cstheme="minorBidi"/>
              <w:sz w:val="32"/>
              <w:szCs w:val="32"/>
            </w:rPr>
          </w:pPr>
          <w:r>
            <w:fldChar w:fldCharType="begin"/>
          </w:r>
          <w:r>
            <w:instrText xml:space="preserve"> HYPERLINK \l "_Toc206602928" </w:instrText>
          </w:r>
          <w:r>
            <w:fldChar w:fldCharType="separate"/>
          </w:r>
          <w:r>
            <w:rPr>
              <w:rStyle w:val="19"/>
              <w:rFonts w:hint="eastAsia" w:ascii="仿宋_GB2312" w:eastAsia="仿宋_GB2312"/>
              <w:sz w:val="32"/>
              <w:szCs w:val="32"/>
            </w:rPr>
            <w:t>十二、国有资本经营预算财政拨款支出决算表</w:t>
          </w:r>
          <w:r>
            <w:rPr>
              <w:sz w:val="32"/>
              <w:szCs w:val="32"/>
            </w:rPr>
            <w:tab/>
          </w:r>
          <w:r>
            <w:rPr>
              <w:sz w:val="32"/>
              <w:szCs w:val="32"/>
            </w:rPr>
            <w:fldChar w:fldCharType="begin"/>
          </w:r>
          <w:r>
            <w:rPr>
              <w:sz w:val="32"/>
              <w:szCs w:val="32"/>
            </w:rPr>
            <w:instrText xml:space="preserve"> PAGEREF _Toc206602928 \h </w:instrText>
          </w:r>
          <w:r>
            <w:rPr>
              <w:sz w:val="32"/>
              <w:szCs w:val="32"/>
            </w:rPr>
            <w:fldChar w:fldCharType="separate"/>
          </w:r>
          <w:r>
            <w:rPr>
              <w:sz w:val="32"/>
              <w:szCs w:val="32"/>
            </w:rPr>
            <w:t>17</w:t>
          </w:r>
          <w:r>
            <w:rPr>
              <w:sz w:val="32"/>
              <w:szCs w:val="32"/>
            </w:rPr>
            <w:fldChar w:fldCharType="end"/>
          </w:r>
          <w:r>
            <w:rPr>
              <w:sz w:val="32"/>
              <w:szCs w:val="32"/>
            </w:rPr>
            <w:fldChar w:fldCharType="end"/>
          </w:r>
        </w:p>
        <w:p>
          <w:pPr>
            <w:pStyle w:val="14"/>
            <w:spacing w:line="640" w:lineRule="exact"/>
            <w:rPr>
              <w:rFonts w:asciiTheme="minorHAnsi" w:hAnsiTheme="minorHAnsi" w:eastAsiaTheme="minorEastAsia" w:cstheme="minorBidi"/>
              <w:sz w:val="32"/>
              <w:szCs w:val="32"/>
            </w:rPr>
          </w:pPr>
          <w:r>
            <w:fldChar w:fldCharType="begin"/>
          </w:r>
          <w:r>
            <w:instrText xml:space="preserve"> HYPERLINK \l "_Toc206602929" </w:instrText>
          </w:r>
          <w:r>
            <w:fldChar w:fldCharType="separate"/>
          </w:r>
          <w:r>
            <w:rPr>
              <w:rStyle w:val="19"/>
              <w:rFonts w:hint="eastAsia" w:ascii="仿宋_GB2312" w:eastAsia="仿宋_GB2312"/>
              <w:sz w:val="32"/>
              <w:szCs w:val="32"/>
            </w:rPr>
            <w:t>十三、财政拨款“三公”经费支出决算表</w:t>
          </w:r>
          <w:r>
            <w:rPr>
              <w:sz w:val="32"/>
              <w:szCs w:val="32"/>
            </w:rPr>
            <w:tab/>
          </w:r>
          <w:r>
            <w:rPr>
              <w:sz w:val="32"/>
              <w:szCs w:val="32"/>
            </w:rPr>
            <w:fldChar w:fldCharType="begin"/>
          </w:r>
          <w:r>
            <w:rPr>
              <w:sz w:val="32"/>
              <w:szCs w:val="32"/>
            </w:rPr>
            <w:instrText xml:space="preserve"> PAGEREF _Toc206602929 \h </w:instrText>
          </w:r>
          <w:r>
            <w:rPr>
              <w:sz w:val="32"/>
              <w:szCs w:val="32"/>
            </w:rPr>
            <w:fldChar w:fldCharType="separate"/>
          </w:r>
          <w:r>
            <w:rPr>
              <w:sz w:val="32"/>
              <w:szCs w:val="32"/>
            </w:rPr>
            <w:t>17</w:t>
          </w:r>
          <w:r>
            <w:rPr>
              <w:sz w:val="32"/>
              <w:szCs w:val="32"/>
            </w:rPr>
            <w:fldChar w:fldCharType="end"/>
          </w:r>
          <w:r>
            <w:rPr>
              <w:sz w:val="32"/>
              <w:szCs w:val="32"/>
            </w:rPr>
            <w:fldChar w:fldCharType="end"/>
          </w:r>
        </w:p>
        <w:p>
          <w:pPr>
            <w:spacing w:line="640" w:lineRule="exact"/>
            <w:rPr>
              <w:sz w:val="32"/>
              <w:szCs w:val="32"/>
            </w:rPr>
          </w:pPr>
          <w:r>
            <w:rPr>
              <w:b/>
              <w:bCs/>
              <w:sz w:val="32"/>
              <w:szCs w:val="32"/>
              <w:lang w:val="zh-CN"/>
            </w:rPr>
            <w:fldChar w:fldCharType="end"/>
          </w:r>
        </w:p>
      </w:sdtContent>
    </w:sdt>
    <w:p>
      <w:pPr>
        <w:pStyle w:val="2"/>
        <w:spacing w:before="93"/>
        <w:rPr>
          <w:rFonts w:hint="eastAsia"/>
        </w:rPr>
      </w:pPr>
    </w:p>
    <w:p>
      <w:pPr>
        <w:widowControl/>
        <w:spacing w:line="560" w:lineRule="exact"/>
        <w:jc w:val="left"/>
        <w:rPr>
          <w:rFonts w:eastAsia="仿宋_GB2312" w:cs="仿宋_GB2312"/>
          <w:b/>
          <w:sz w:val="32"/>
          <w:szCs w:val="32"/>
        </w:rPr>
        <w:sectPr>
          <w:pgSz w:w="11906" w:h="16838"/>
          <w:pgMar w:top="1440" w:right="1797" w:bottom="1440" w:left="1797" w:header="851" w:footer="992" w:gutter="0"/>
          <w:pgNumType w:start="1"/>
          <w:cols w:space="425" w:num="1"/>
          <w:docGrid w:type="lines" w:linePitch="312" w:charSpace="0"/>
        </w:sectPr>
      </w:pPr>
      <w:bookmarkStart w:id="12" w:name="_Toc15377196"/>
      <w:bookmarkStart w:id="13" w:name="_Toc15396599"/>
    </w:p>
    <w:p>
      <w:pPr>
        <w:pStyle w:val="3"/>
        <w:jc w:val="center"/>
        <w:rPr>
          <w:rStyle w:val="29"/>
          <w:rFonts w:eastAsia="方正小标宋简体" w:cs="方正小标宋简体"/>
          <w:b/>
          <w:bCs w:val="0"/>
        </w:rPr>
      </w:pPr>
      <w:bookmarkStart w:id="14" w:name="_Toc206602897"/>
      <w:r>
        <w:rPr>
          <w:rFonts w:hint="eastAsia" w:eastAsia="方正小标宋简体" w:cs="方正小标宋简体"/>
          <w:b w:val="0"/>
        </w:rPr>
        <w:t xml:space="preserve">第一部分  </w:t>
      </w:r>
      <w:r>
        <w:rPr>
          <w:rStyle w:val="29"/>
          <w:rFonts w:hint="eastAsia" w:eastAsia="方正小标宋简体" w:cs="方正小标宋简体"/>
          <w:b w:val="0"/>
          <w:bCs w:val="0"/>
        </w:rPr>
        <w:t>部门概况</w:t>
      </w:r>
      <w:bookmarkEnd w:id="12"/>
      <w:bookmarkEnd w:id="13"/>
      <w:bookmarkEnd w:id="14"/>
    </w:p>
    <w:p>
      <w:pPr>
        <w:widowControl/>
        <w:jc w:val="left"/>
        <w:rPr>
          <w:rFonts w:eastAsia="黑体"/>
          <w:sz w:val="32"/>
          <w:szCs w:val="32"/>
        </w:rPr>
      </w:pPr>
    </w:p>
    <w:p>
      <w:pPr>
        <w:pStyle w:val="4"/>
        <w:numPr>
          <w:ilvl w:val="0"/>
          <w:numId w:val="1"/>
        </w:numPr>
        <w:rPr>
          <w:rFonts w:ascii="Times New Roman" w:hAnsi="Times New Roman" w:eastAsia="黑体"/>
          <w:b w:val="0"/>
        </w:rPr>
      </w:pPr>
      <w:bookmarkStart w:id="15" w:name="_Toc206602898"/>
      <w:r>
        <w:rPr>
          <w:rFonts w:hint="eastAsia" w:ascii="Times New Roman" w:hAnsi="Times New Roman" w:eastAsia="黑体"/>
          <w:b w:val="0"/>
        </w:rPr>
        <w:t>部门职责</w:t>
      </w:r>
      <w:bookmarkEnd w:id="15"/>
    </w:p>
    <w:p>
      <w:pPr>
        <w:spacing w:line="620" w:lineRule="exact"/>
        <w:ind w:firstLine="640" w:firstLineChars="200"/>
        <w:rPr>
          <w:rFonts w:eastAsia="仿宋_GB2312"/>
          <w:color w:val="000000"/>
          <w:kern w:val="0"/>
          <w:sz w:val="32"/>
          <w:szCs w:val="32"/>
          <w:lang w:bidi="ar"/>
        </w:rPr>
      </w:pPr>
      <w:r>
        <w:rPr>
          <w:rFonts w:eastAsia="仿宋_GB2312"/>
          <w:color w:val="000000"/>
          <w:kern w:val="0"/>
          <w:sz w:val="32"/>
          <w:szCs w:val="32"/>
          <w:lang w:bidi="ar"/>
        </w:rPr>
        <w:t>负责全市行政事业单位使用的财政票据的使用、监督管理、领用和发行工作，以及对票据的审查、稽查、核销工作，并配合搞好市直行政事业单位非税收入和“收支两条线”的管理工作。</w:t>
      </w:r>
    </w:p>
    <w:p>
      <w:pPr>
        <w:pStyle w:val="4"/>
        <w:rPr>
          <w:rStyle w:val="30"/>
          <w:rFonts w:ascii="Times New Roman" w:hAnsi="Times New Roman"/>
          <w:b w:val="0"/>
          <w:bCs w:val="0"/>
        </w:rPr>
      </w:pPr>
      <w:bookmarkStart w:id="16" w:name="_Toc206602899"/>
      <w:bookmarkStart w:id="17" w:name="_Toc15396601"/>
      <w:bookmarkStart w:id="18" w:name="_Toc15377200"/>
      <w:r>
        <w:rPr>
          <w:rFonts w:hint="eastAsia" w:ascii="Times New Roman" w:hAnsi="Times New Roman" w:eastAsia="黑体"/>
          <w:b w:val="0"/>
        </w:rPr>
        <w:t>二、机</w:t>
      </w:r>
      <w:r>
        <w:rPr>
          <w:rStyle w:val="30"/>
          <w:rFonts w:hint="eastAsia" w:ascii="Times New Roman" w:hAnsi="Times New Roman" w:eastAsia="黑体"/>
          <w:b w:val="0"/>
          <w:bCs w:val="0"/>
        </w:rPr>
        <w:t>构设置</w:t>
      </w:r>
      <w:bookmarkEnd w:id="16"/>
      <w:bookmarkEnd w:id="17"/>
      <w:bookmarkEnd w:id="18"/>
    </w:p>
    <w:p>
      <w:pPr>
        <w:ind w:firstLine="640" w:firstLineChars="200"/>
        <w:rPr>
          <w:rFonts w:eastAsia="仿宋_GB2312" w:cs="仿宋_GB2312"/>
          <w:sz w:val="32"/>
          <w:szCs w:val="32"/>
        </w:rPr>
      </w:pPr>
      <w:r>
        <w:rPr>
          <w:rFonts w:hint="eastAsia" w:ascii="仿宋_GB2312" w:hAnsi="仿宋_GB2312" w:eastAsia="仿宋_GB2312" w:cs="仿宋_GB2312"/>
          <w:sz w:val="32"/>
          <w:szCs w:val="32"/>
        </w:rPr>
        <w:t>四川省遂宁市票据监管中心</w:t>
      </w:r>
      <w:r>
        <w:rPr>
          <w:rFonts w:hint="eastAsia" w:eastAsia="仿宋_GB2312" w:cs="仿宋_GB2312"/>
          <w:sz w:val="32"/>
          <w:szCs w:val="32"/>
        </w:rPr>
        <w:t>下属二级预算单位0个，其中行政单位0个，参照公务员法管理的事业单位</w:t>
      </w:r>
      <w:r>
        <w:rPr>
          <w:rFonts w:hint="eastAsia" w:eastAsia="仿宋_GB2312" w:cs="仿宋_GB2312"/>
          <w:bCs/>
          <w:sz w:val="32"/>
          <w:szCs w:val="32"/>
        </w:rPr>
        <w:t>0</w:t>
      </w:r>
      <w:r>
        <w:rPr>
          <w:rFonts w:hint="eastAsia" w:eastAsia="仿宋_GB2312" w:cs="仿宋_GB2312"/>
          <w:sz w:val="32"/>
          <w:szCs w:val="32"/>
        </w:rPr>
        <w:t>个，其他事业单位0个。</w:t>
      </w:r>
    </w:p>
    <w:p>
      <w:pPr>
        <w:widowControl/>
        <w:jc w:val="left"/>
        <w:rPr>
          <w:rFonts w:eastAsia="仿宋_GB2312" w:cs="仿宋_GB2312"/>
          <w:sz w:val="32"/>
          <w:szCs w:val="32"/>
        </w:rPr>
      </w:pPr>
      <w:r>
        <w:rPr>
          <w:rFonts w:eastAsia="仿宋_GB2312" w:cs="仿宋_GB2312"/>
          <w:sz w:val="32"/>
          <w:szCs w:val="32"/>
        </w:rPr>
        <w:br w:type="page"/>
      </w:r>
    </w:p>
    <w:p>
      <w:pPr>
        <w:pStyle w:val="3"/>
        <w:ind w:firstLine="440" w:firstLineChars="100"/>
        <w:jc w:val="center"/>
      </w:pPr>
      <w:bookmarkStart w:id="19" w:name="_Toc206602900"/>
      <w:bookmarkStart w:id="20" w:name="_Toc15396602"/>
      <w:bookmarkStart w:id="21" w:name="_Toc15377204"/>
      <w:r>
        <w:rPr>
          <w:rFonts w:hint="eastAsia" w:eastAsia="方正小标宋简体" w:cs="方正小标宋简体"/>
          <w:b w:val="0"/>
        </w:rPr>
        <w:t>第二部分  2024年度部门决算情况说明</w:t>
      </w:r>
      <w:bookmarkEnd w:id="19"/>
      <w:bookmarkEnd w:id="20"/>
      <w:bookmarkEnd w:id="21"/>
    </w:p>
    <w:p>
      <w:pPr>
        <w:pStyle w:val="28"/>
        <w:spacing w:line="600" w:lineRule="exact"/>
        <w:ind w:firstLine="640"/>
        <w:outlineLvl w:val="1"/>
        <w:rPr>
          <w:rStyle w:val="30"/>
          <w:rFonts w:ascii="Times New Roman" w:hAnsi="Times New Roman" w:eastAsia="黑体"/>
          <w:b w:val="0"/>
        </w:rPr>
      </w:pPr>
      <w:bookmarkStart w:id="22" w:name="_Toc15377205"/>
      <w:bookmarkStart w:id="23" w:name="_Toc15396603"/>
      <w:bookmarkStart w:id="24" w:name="_Toc206602901"/>
      <w:r>
        <w:rPr>
          <w:rFonts w:hint="eastAsia" w:eastAsia="黑体"/>
          <w:sz w:val="32"/>
          <w:szCs w:val="32"/>
        </w:rPr>
        <w:t>一、收</w:t>
      </w:r>
      <w:r>
        <w:rPr>
          <w:rStyle w:val="30"/>
          <w:rFonts w:hint="eastAsia" w:ascii="Times New Roman" w:hAnsi="Times New Roman" w:eastAsia="黑体"/>
          <w:b w:val="0"/>
        </w:rPr>
        <w:t>入支出决算总体情况说明</w:t>
      </w:r>
      <w:bookmarkEnd w:id="22"/>
      <w:bookmarkEnd w:id="23"/>
      <w:bookmarkEnd w:id="24"/>
    </w:p>
    <w:p>
      <w:pPr>
        <w:spacing w:line="600" w:lineRule="exact"/>
        <w:ind w:firstLine="640" w:firstLineChars="200"/>
        <w:rPr>
          <w:rFonts w:eastAsia="仿宋_GB2312"/>
          <w:sz w:val="32"/>
          <w:szCs w:val="32"/>
        </w:rPr>
      </w:pPr>
      <w:r>
        <w:rPr>
          <w:rFonts w:eastAsia="仿宋_GB2312"/>
          <w:sz w:val="32"/>
          <w:szCs w:val="32"/>
        </w:rPr>
        <w:t>2024年度收入、支出总计均为174.8万元。与2023年度相比，收入、支出总计各减少10.58万元，下降5.7%。主要变动原因是财政票据工本费项目减少。</w:t>
      </w:r>
    </w:p>
    <w:p>
      <w:pPr>
        <w:ind w:firstLine="640" w:firstLineChars="200"/>
        <w:rPr>
          <w:rFonts w:eastAsia="仿宋_GB2312" w:cs="仿宋_GB2312"/>
          <w:sz w:val="32"/>
          <w:szCs w:val="32"/>
        </w:rPr>
      </w:pPr>
    </w:p>
    <w:p>
      <w:pPr>
        <w:pStyle w:val="28"/>
        <w:spacing w:line="600" w:lineRule="exact"/>
        <w:ind w:firstLine="640"/>
        <w:outlineLvl w:val="1"/>
        <w:rPr>
          <w:rFonts w:eastAsia="黑体"/>
          <w:sz w:val="32"/>
          <w:szCs w:val="32"/>
        </w:rPr>
      </w:pPr>
      <w:bookmarkStart w:id="25" w:name="_Toc15377206"/>
      <w:bookmarkStart w:id="26" w:name="_Toc15396604"/>
    </w:p>
    <w:p>
      <w:pPr>
        <w:pStyle w:val="28"/>
        <w:spacing w:line="600" w:lineRule="exact"/>
        <w:ind w:firstLine="643"/>
        <w:outlineLvl w:val="1"/>
        <w:rPr>
          <w:rFonts w:eastAsia="黑体"/>
          <w:sz w:val="32"/>
          <w:szCs w:val="32"/>
        </w:rPr>
      </w:pPr>
      <w:bookmarkStart w:id="27" w:name="_Toc206602867"/>
      <w:bookmarkStart w:id="28" w:name="_Toc206602590"/>
      <w:bookmarkStart w:id="29" w:name="_Toc206602788"/>
      <w:bookmarkStart w:id="30" w:name="_Toc206602647"/>
      <w:bookmarkStart w:id="31" w:name="_Toc206602746"/>
      <w:bookmarkStart w:id="32" w:name="_Toc206602698"/>
      <w:bookmarkStart w:id="33" w:name="_Toc206602828"/>
      <w:bookmarkStart w:id="34" w:name="_Toc206602902"/>
      <w:r>
        <w:rPr>
          <w:rFonts w:ascii="楷体_GB2312" w:hAnsi="仿宋" w:eastAsia="楷体_GB2312"/>
          <w:b/>
          <w:sz w:val="32"/>
          <w:szCs w:val="32"/>
        </w:rPr>
        <w:pict>
          <v:shape id="Object 3" o:spid="_x0000_s1026" o:spt="75" type="#_x0000_t75" style="position:absolute;left:0pt;margin-left:27.75pt;margin-top:-49.35pt;height:196.8pt;width:340.25pt;z-index:251659264;mso-width-relative:page;mso-height-relative:page;" o:ole="t" filled="f" o:preferrelative="t" stroked="f" coordsize="21600,21600">
            <v:path/>
            <v:fill on="f" focussize="0,0"/>
            <v:stroke on="f" joinstyle="miter"/>
            <v:imagedata r:id="rId7" o:title=""/>
            <o:lock v:ext="edit" aspectratio="t"/>
          </v:shape>
          <o:OLEObject Type="Embed" ProgID="Excel.Chart.8" ShapeID="Object 3" DrawAspect="Content" ObjectID="_1468075725" r:id="rId6">
            <o:LockedField>false</o:LockedField>
          </o:OLEObject>
        </w:pict>
      </w:r>
      <w:bookmarkEnd w:id="27"/>
      <w:bookmarkEnd w:id="28"/>
      <w:bookmarkEnd w:id="29"/>
      <w:bookmarkEnd w:id="30"/>
      <w:bookmarkEnd w:id="31"/>
      <w:bookmarkEnd w:id="32"/>
      <w:bookmarkEnd w:id="33"/>
      <w:bookmarkEnd w:id="34"/>
    </w:p>
    <w:p>
      <w:pPr>
        <w:pStyle w:val="28"/>
        <w:spacing w:line="600" w:lineRule="exact"/>
        <w:ind w:firstLine="640"/>
        <w:outlineLvl w:val="1"/>
        <w:rPr>
          <w:rFonts w:eastAsia="黑体"/>
          <w:sz w:val="32"/>
          <w:szCs w:val="32"/>
        </w:rPr>
      </w:pPr>
    </w:p>
    <w:p>
      <w:pPr>
        <w:pStyle w:val="28"/>
        <w:spacing w:line="600" w:lineRule="exact"/>
        <w:ind w:firstLine="640"/>
        <w:outlineLvl w:val="1"/>
        <w:rPr>
          <w:rFonts w:eastAsia="黑体"/>
          <w:sz w:val="32"/>
          <w:szCs w:val="32"/>
        </w:rPr>
      </w:pPr>
    </w:p>
    <w:p>
      <w:pPr>
        <w:pStyle w:val="28"/>
        <w:spacing w:line="600" w:lineRule="exact"/>
        <w:ind w:firstLine="640"/>
        <w:outlineLvl w:val="1"/>
        <w:rPr>
          <w:rFonts w:eastAsia="黑体"/>
          <w:sz w:val="32"/>
          <w:szCs w:val="32"/>
        </w:rPr>
      </w:pPr>
    </w:p>
    <w:p>
      <w:pPr>
        <w:pStyle w:val="28"/>
        <w:spacing w:line="600" w:lineRule="exact"/>
        <w:ind w:firstLine="640"/>
        <w:outlineLvl w:val="1"/>
        <w:rPr>
          <w:rFonts w:eastAsia="黑体"/>
          <w:sz w:val="32"/>
          <w:szCs w:val="32"/>
        </w:rPr>
      </w:pPr>
    </w:p>
    <w:p>
      <w:pPr>
        <w:pStyle w:val="28"/>
        <w:spacing w:line="600" w:lineRule="exact"/>
        <w:ind w:firstLine="640"/>
        <w:outlineLvl w:val="1"/>
        <w:rPr>
          <w:rFonts w:eastAsia="黑体"/>
          <w:sz w:val="32"/>
          <w:szCs w:val="32"/>
        </w:rPr>
      </w:pPr>
      <w:bookmarkStart w:id="35" w:name="_Toc206602903"/>
      <w:r>
        <w:rPr>
          <w:rFonts w:hint="eastAsia" w:eastAsia="黑体"/>
          <w:sz w:val="32"/>
          <w:szCs w:val="32"/>
        </w:rPr>
        <w:t>二、收入决算情况说明</w:t>
      </w:r>
      <w:bookmarkEnd w:id="25"/>
      <w:bookmarkEnd w:id="26"/>
      <w:bookmarkEnd w:id="35"/>
    </w:p>
    <w:p>
      <w:pPr>
        <w:spacing w:line="600" w:lineRule="exact"/>
        <w:ind w:firstLine="640" w:firstLineChars="200"/>
        <w:rPr>
          <w:rFonts w:eastAsia="仿宋_GB2312"/>
          <w:sz w:val="32"/>
          <w:szCs w:val="32"/>
        </w:rPr>
      </w:pPr>
      <w:r>
        <w:rPr>
          <w:rFonts w:hint="eastAsia" w:eastAsia="仿宋_GB2312"/>
          <w:sz w:val="32"/>
          <w:szCs w:val="32"/>
        </w:rPr>
        <w:t>2024年度本年收入合计174.8万元，其中：一般公共预算财政拨款收入174.8万元，占100%；</w:t>
      </w:r>
    </w:p>
    <w:p>
      <w:pPr>
        <w:ind w:firstLine="800" w:firstLineChars="250"/>
        <w:rPr>
          <w:rFonts w:eastAsia="仿宋_GB2312" w:cs="仿宋_GB2312"/>
          <w:sz w:val="32"/>
          <w:szCs w:val="32"/>
        </w:rPr>
      </w:pPr>
      <w:r>
        <w:rPr>
          <w:sz w:val="32"/>
          <w:szCs w:val="32"/>
        </w:rPr>
        <w:pict>
          <v:shape id="_x0000_s1027" o:spid="_x0000_s1027" o:spt="75" type="#_x0000_t75" style="position:absolute;left:0pt;margin-left:2.5pt;margin-top:9.85pt;height:190.65pt;width:431.25pt;z-index:251660288;mso-width-relative:page;mso-height-relative:page;" o:ole="t" filled="f" o:preferrelative="t" stroked="f" coordsize="21600,21600">
            <v:path/>
            <v:fill on="f" focussize="0,0"/>
            <v:stroke on="f" joinstyle="miter"/>
            <v:imagedata r:id="rId9" o:title=""/>
            <o:lock v:ext="edit" aspectratio="t"/>
          </v:shape>
          <o:OLEObject Type="Embed" ProgID="Excel.Chart.8" ShapeID="_x0000_s1027" DrawAspect="Content" ObjectID="_1468075726" r:id="rId8">
            <o:LockedField>false</o:LockedField>
          </o:OLEObject>
        </w:pict>
      </w:r>
    </w:p>
    <w:p>
      <w:pPr>
        <w:pStyle w:val="2"/>
        <w:spacing w:before="93"/>
        <w:rPr>
          <w:rFonts w:ascii="Times New Roman" w:cs="仿宋_GB2312"/>
          <w:sz w:val="32"/>
          <w:szCs w:val="32"/>
        </w:rPr>
      </w:pPr>
    </w:p>
    <w:p>
      <w:pPr>
        <w:pStyle w:val="2"/>
        <w:spacing w:before="93"/>
        <w:rPr>
          <w:rFonts w:ascii="Times New Roman" w:cs="仿宋_GB2312"/>
          <w:sz w:val="32"/>
          <w:szCs w:val="32"/>
        </w:rPr>
      </w:pPr>
    </w:p>
    <w:p>
      <w:pPr>
        <w:pStyle w:val="2"/>
        <w:spacing w:before="93"/>
        <w:rPr>
          <w:rFonts w:hint="eastAsia" w:ascii="Times New Roman" w:cs="仿宋_GB2312"/>
          <w:sz w:val="32"/>
          <w:szCs w:val="32"/>
        </w:rPr>
      </w:pPr>
    </w:p>
    <w:p>
      <w:pPr>
        <w:pStyle w:val="2"/>
        <w:spacing w:before="93"/>
        <w:rPr>
          <w:rFonts w:ascii="Times New Roman" w:cs="仿宋_GB2312"/>
          <w:sz w:val="32"/>
          <w:szCs w:val="32"/>
        </w:rPr>
      </w:pPr>
    </w:p>
    <w:p>
      <w:pPr>
        <w:pStyle w:val="2"/>
        <w:spacing w:before="93"/>
        <w:rPr>
          <w:rFonts w:ascii="Times New Roman" w:cs="仿宋_GB2312"/>
          <w:sz w:val="32"/>
          <w:szCs w:val="32"/>
        </w:rPr>
      </w:pPr>
    </w:p>
    <w:p>
      <w:pPr>
        <w:pStyle w:val="28"/>
        <w:spacing w:line="600" w:lineRule="exact"/>
        <w:ind w:firstLine="640"/>
        <w:outlineLvl w:val="1"/>
        <w:rPr>
          <w:rStyle w:val="30"/>
          <w:rFonts w:ascii="Times New Roman" w:hAnsi="Times New Roman" w:eastAsia="黑体"/>
          <w:b w:val="0"/>
        </w:rPr>
      </w:pPr>
      <w:bookmarkStart w:id="36" w:name="_Toc15396605"/>
      <w:bookmarkStart w:id="37" w:name="_Toc206602904"/>
      <w:bookmarkStart w:id="38" w:name="_Toc15377207"/>
      <w:r>
        <w:rPr>
          <w:rFonts w:hint="eastAsia" w:eastAsia="黑体"/>
          <w:sz w:val="32"/>
          <w:szCs w:val="32"/>
        </w:rPr>
        <w:t>三、支</w:t>
      </w:r>
      <w:r>
        <w:rPr>
          <w:rStyle w:val="30"/>
          <w:rFonts w:hint="eastAsia" w:ascii="Times New Roman" w:hAnsi="Times New Roman" w:eastAsia="黑体"/>
          <w:b w:val="0"/>
        </w:rPr>
        <w:t>出决算情况说明</w:t>
      </w:r>
      <w:bookmarkEnd w:id="36"/>
      <w:bookmarkEnd w:id="37"/>
      <w:bookmarkEnd w:id="38"/>
    </w:p>
    <w:p>
      <w:pPr>
        <w:spacing w:line="600" w:lineRule="exact"/>
        <w:ind w:firstLine="640" w:firstLineChars="200"/>
        <w:rPr>
          <w:rFonts w:eastAsia="仿宋_GB2312"/>
          <w:sz w:val="32"/>
          <w:szCs w:val="32"/>
        </w:rPr>
      </w:pPr>
      <w:r>
        <w:rPr>
          <w:rFonts w:hint="eastAsia" w:eastAsia="仿宋_GB2312"/>
          <w:sz w:val="32"/>
          <w:szCs w:val="32"/>
        </w:rPr>
        <w:t>2024年度本年支出合计174.8万元，其中：基本支出142.8万元，占81.69%；项目支出32万元，占18.3%；</w:t>
      </w:r>
    </w:p>
    <w:p>
      <w:pPr>
        <w:spacing w:line="600" w:lineRule="exact"/>
        <w:ind w:firstLine="640" w:firstLineChars="200"/>
        <w:outlineLvl w:val="1"/>
        <w:rPr>
          <w:rFonts w:eastAsia="黑体"/>
          <w:sz w:val="32"/>
          <w:szCs w:val="32"/>
        </w:rPr>
      </w:pPr>
      <w:bookmarkStart w:id="39" w:name="_Toc206602749"/>
      <w:bookmarkStart w:id="40" w:name="_Toc206602831"/>
      <w:bookmarkStart w:id="41" w:name="_Toc206602595"/>
      <w:bookmarkStart w:id="42" w:name="_Toc206602791"/>
      <w:bookmarkStart w:id="43" w:name="_Toc206602905"/>
      <w:bookmarkStart w:id="44" w:name="_Toc206602870"/>
      <w:bookmarkStart w:id="45" w:name="_Toc206602701"/>
      <w:bookmarkStart w:id="46" w:name="_Toc206602652"/>
      <w:bookmarkStart w:id="47" w:name="_Toc15396606"/>
      <w:bookmarkStart w:id="48" w:name="_Toc15377208"/>
      <w:r>
        <w:rPr>
          <w:sz w:val="32"/>
          <w:szCs w:val="32"/>
        </w:rPr>
        <w:pict>
          <v:shape id="_x0000_s1028" o:spid="_x0000_s1028" o:spt="75" type="#_x0000_t75" style="position:absolute;left:0pt;margin-left:16.4pt;margin-top:15.6pt;height:201.65pt;width:366.75pt;z-index:251661312;mso-width-relative:page;mso-height-relative:page;" o:ole="t" filled="f" o:preferrelative="t" stroked="f" coordsize="21600,21600">
            <v:path/>
            <v:fill on="f" focussize="0,0"/>
            <v:stroke on="f" joinstyle="miter"/>
            <v:imagedata r:id="rId11" o:title=""/>
            <o:lock v:ext="edit" aspectratio="t"/>
          </v:shape>
          <o:OLEObject Type="Embed" ProgID="Excel.Chart.8" ShapeID="_x0000_s1028" DrawAspect="Content" ObjectID="_1468075727" r:id="rId10">
            <o:LockedField>false</o:LockedField>
          </o:OLEObject>
        </w:pict>
      </w:r>
      <w:bookmarkEnd w:id="39"/>
      <w:bookmarkEnd w:id="40"/>
      <w:bookmarkEnd w:id="41"/>
      <w:bookmarkEnd w:id="42"/>
      <w:bookmarkEnd w:id="43"/>
      <w:bookmarkEnd w:id="44"/>
      <w:bookmarkEnd w:id="45"/>
      <w:bookmarkEnd w:id="46"/>
    </w:p>
    <w:p>
      <w:pPr>
        <w:spacing w:line="600" w:lineRule="exact"/>
        <w:ind w:firstLine="640" w:firstLineChars="200"/>
        <w:outlineLvl w:val="1"/>
        <w:rPr>
          <w:rFonts w:eastAsia="黑体"/>
          <w:sz w:val="32"/>
          <w:szCs w:val="32"/>
        </w:rPr>
      </w:pPr>
    </w:p>
    <w:p>
      <w:pPr>
        <w:spacing w:line="600" w:lineRule="exact"/>
        <w:ind w:firstLine="640" w:firstLineChars="200"/>
        <w:outlineLvl w:val="1"/>
        <w:rPr>
          <w:rFonts w:eastAsia="黑体"/>
          <w:sz w:val="32"/>
          <w:szCs w:val="32"/>
        </w:rPr>
      </w:pPr>
    </w:p>
    <w:p>
      <w:pPr>
        <w:spacing w:line="600" w:lineRule="exact"/>
        <w:ind w:firstLine="640" w:firstLineChars="200"/>
        <w:outlineLvl w:val="1"/>
        <w:rPr>
          <w:rFonts w:eastAsia="黑体"/>
          <w:sz w:val="32"/>
          <w:szCs w:val="32"/>
        </w:rPr>
      </w:pPr>
    </w:p>
    <w:p>
      <w:pPr>
        <w:spacing w:line="600" w:lineRule="exact"/>
        <w:ind w:firstLine="640" w:firstLineChars="200"/>
        <w:outlineLvl w:val="1"/>
        <w:rPr>
          <w:rFonts w:eastAsia="黑体"/>
          <w:sz w:val="32"/>
          <w:szCs w:val="32"/>
        </w:rPr>
      </w:pPr>
    </w:p>
    <w:p>
      <w:pPr>
        <w:spacing w:line="600" w:lineRule="exact"/>
        <w:ind w:firstLine="640" w:firstLineChars="200"/>
        <w:outlineLvl w:val="1"/>
        <w:rPr>
          <w:rFonts w:eastAsia="黑体"/>
          <w:sz w:val="32"/>
          <w:szCs w:val="32"/>
        </w:rPr>
      </w:pPr>
    </w:p>
    <w:p>
      <w:pPr>
        <w:spacing w:line="600" w:lineRule="exact"/>
        <w:ind w:firstLine="640" w:firstLineChars="200"/>
        <w:outlineLvl w:val="1"/>
        <w:rPr>
          <w:rFonts w:eastAsia="黑体"/>
          <w:sz w:val="32"/>
          <w:szCs w:val="32"/>
        </w:rPr>
      </w:pPr>
    </w:p>
    <w:p>
      <w:pPr>
        <w:spacing w:line="600" w:lineRule="exact"/>
        <w:ind w:firstLine="640" w:firstLineChars="200"/>
        <w:outlineLvl w:val="1"/>
        <w:rPr>
          <w:rStyle w:val="30"/>
          <w:rFonts w:ascii="Times New Roman" w:hAnsi="Times New Roman" w:eastAsia="黑体"/>
          <w:b w:val="0"/>
        </w:rPr>
      </w:pPr>
      <w:bookmarkStart w:id="49" w:name="_Toc206602906"/>
      <w:r>
        <w:rPr>
          <w:rFonts w:hint="eastAsia" w:eastAsia="黑体"/>
          <w:sz w:val="32"/>
          <w:szCs w:val="32"/>
        </w:rPr>
        <w:t>四、财</w:t>
      </w:r>
      <w:r>
        <w:rPr>
          <w:rStyle w:val="30"/>
          <w:rFonts w:hint="eastAsia" w:ascii="Times New Roman" w:hAnsi="Times New Roman" w:eastAsia="黑体"/>
          <w:b w:val="0"/>
        </w:rPr>
        <w:t>政拨款收入支出决算总体情况说明</w:t>
      </w:r>
      <w:bookmarkEnd w:id="47"/>
      <w:bookmarkEnd w:id="48"/>
      <w:bookmarkEnd w:id="49"/>
    </w:p>
    <w:p>
      <w:pPr>
        <w:spacing w:line="600" w:lineRule="exact"/>
        <w:ind w:firstLine="640" w:firstLineChars="200"/>
        <w:rPr>
          <w:rFonts w:eastAsia="仿宋_GB2312"/>
          <w:sz w:val="32"/>
          <w:szCs w:val="32"/>
        </w:rPr>
      </w:pPr>
      <w:r>
        <w:rPr>
          <w:rFonts w:hint="eastAsia" w:eastAsia="仿宋_GB2312"/>
          <w:sz w:val="32"/>
          <w:szCs w:val="32"/>
        </w:rPr>
        <w:t>2024年度财政拨款收入、支出总计均为174.8万元。与2023年度相比，财政拨款收入总计、支出总计各减少10.58万元，下降5.7%。主要变动原因是财政票据工本费项目减少。</w:t>
      </w:r>
    </w:p>
    <w:p>
      <w:pPr>
        <w:spacing w:line="600" w:lineRule="exact"/>
        <w:ind w:firstLine="420" w:firstLineChars="200"/>
        <w:outlineLvl w:val="1"/>
        <w:rPr>
          <w:rFonts w:eastAsia="黑体"/>
          <w:sz w:val="32"/>
          <w:szCs w:val="32"/>
        </w:rPr>
      </w:pPr>
      <w:bookmarkStart w:id="50" w:name="_Toc206602598"/>
      <w:bookmarkStart w:id="51" w:name="_Toc206602907"/>
      <w:bookmarkStart w:id="52" w:name="_Toc206602655"/>
      <w:bookmarkStart w:id="53" w:name="_Toc206602703"/>
      <w:bookmarkStart w:id="54" w:name="_Toc206602751"/>
      <w:bookmarkStart w:id="55" w:name="_Toc206602793"/>
      <w:bookmarkStart w:id="56" w:name="_Toc206602833"/>
      <w:bookmarkStart w:id="57" w:name="_Toc206602872"/>
      <w:bookmarkStart w:id="58" w:name="_Toc15396607"/>
      <w:bookmarkStart w:id="59" w:name="_Toc15377209"/>
      <w:r>
        <w:rPr>
          <w:rFonts w:eastAsia="仿宋"/>
          <w:szCs w:val="32"/>
        </w:rPr>
        <w:pict>
          <v:shape id="_x0000_s1029" o:spid="_x0000_s1029" o:spt="75" type="#_x0000_t75" style="position:absolute;left:0pt;margin-left:35.35pt;margin-top:14.8pt;height:222.75pt;width:366.75pt;mso-wrap-distance-bottom:0pt;mso-wrap-distance-top:0pt;z-index:251662336;mso-width-relative:page;mso-height-relative:page;" o:ole="t" filled="f" o:preferrelative="t" stroked="f" coordsize="21600,21600">
            <v:path/>
            <v:fill on="f" focussize="0,0"/>
            <v:stroke on="f" joinstyle="miter"/>
            <v:imagedata r:id="rId13" o:title=""/>
            <o:lock v:ext="edit" aspectratio="t"/>
            <w10:wrap type="topAndBottom"/>
          </v:shape>
          <o:OLEObject Type="Embed" ProgID="Excel.Chart.8" ShapeID="_x0000_s1029" DrawAspect="Content" ObjectID="_1468075728" r:id="rId12">
            <o:LockedField>false</o:LockedField>
          </o:OLEObject>
        </w:pict>
      </w:r>
      <w:bookmarkEnd w:id="50"/>
      <w:bookmarkEnd w:id="51"/>
      <w:bookmarkEnd w:id="52"/>
      <w:bookmarkEnd w:id="53"/>
      <w:bookmarkEnd w:id="54"/>
      <w:bookmarkEnd w:id="55"/>
      <w:bookmarkEnd w:id="56"/>
      <w:bookmarkEnd w:id="57"/>
    </w:p>
    <w:p>
      <w:pPr>
        <w:spacing w:line="600" w:lineRule="exact"/>
        <w:ind w:firstLine="640" w:firstLineChars="200"/>
        <w:outlineLvl w:val="1"/>
        <w:rPr>
          <w:rStyle w:val="30"/>
          <w:rFonts w:ascii="Times New Roman" w:hAnsi="Times New Roman" w:eastAsia="黑体"/>
          <w:b w:val="0"/>
        </w:rPr>
      </w:pPr>
      <w:bookmarkStart w:id="60" w:name="_Toc206602908"/>
      <w:r>
        <w:rPr>
          <w:rFonts w:hint="eastAsia" w:eastAsia="黑体"/>
          <w:sz w:val="32"/>
          <w:szCs w:val="32"/>
        </w:rPr>
        <w:t>五、</w:t>
      </w:r>
      <w:r>
        <w:rPr>
          <w:rFonts w:hint="eastAsia" w:eastAsia="黑体"/>
          <w:b/>
          <w:sz w:val="32"/>
          <w:szCs w:val="32"/>
        </w:rPr>
        <w:t>一</w:t>
      </w:r>
      <w:r>
        <w:rPr>
          <w:rStyle w:val="30"/>
          <w:rFonts w:hint="eastAsia" w:ascii="Times New Roman" w:hAnsi="Times New Roman" w:eastAsia="黑体"/>
          <w:b w:val="0"/>
        </w:rPr>
        <w:t>般公共预算财政拨款支出决算情况说明</w:t>
      </w:r>
      <w:bookmarkEnd w:id="58"/>
      <w:bookmarkEnd w:id="59"/>
      <w:bookmarkEnd w:id="60"/>
    </w:p>
    <w:p>
      <w:pPr>
        <w:spacing w:line="600" w:lineRule="exact"/>
        <w:ind w:firstLine="642" w:firstLineChars="200"/>
        <w:rPr>
          <w:rFonts w:hint="eastAsia" w:ascii="楷体_GB2312" w:eastAsia="楷体_GB2312"/>
          <w:b/>
          <w:sz w:val="32"/>
          <w:szCs w:val="32"/>
        </w:rPr>
      </w:pPr>
      <w:bookmarkStart w:id="61" w:name="_Toc15377210"/>
      <w:r>
        <w:rPr>
          <w:rFonts w:hint="eastAsia" w:ascii="楷体_GB2312" w:eastAsia="楷体_GB2312"/>
          <w:b/>
          <w:sz w:val="32"/>
          <w:szCs w:val="32"/>
        </w:rPr>
        <w:t>（一）一般公共预算财政拨款支出决算总体情况</w:t>
      </w:r>
      <w:bookmarkEnd w:id="61"/>
    </w:p>
    <w:p>
      <w:pPr>
        <w:spacing w:line="600" w:lineRule="exact"/>
        <w:ind w:firstLine="640" w:firstLineChars="200"/>
        <w:rPr>
          <w:rFonts w:eastAsia="仿宋_GB2312"/>
          <w:sz w:val="32"/>
          <w:szCs w:val="32"/>
        </w:rPr>
      </w:pPr>
      <w:r>
        <w:rPr>
          <w:rFonts w:eastAsia="仿宋_GB2312"/>
          <w:sz w:val="32"/>
          <w:szCs w:val="32"/>
        </w:rPr>
        <w:pict>
          <v:shape id="_x0000_s1032" o:spid="_x0000_s1032" o:spt="75" type="#_x0000_t75" style="position:absolute;left:0pt;margin-left:7.55pt;margin-top:139.85pt;height:300.8pt;width:383pt;mso-wrap-distance-bottom:0pt;mso-wrap-distance-top:0pt;z-index:251663360;mso-width-relative:page;mso-height-relative:page;" o:ole="t" filled="f" o:preferrelative="t" stroked="f" coordsize="21600,21600">
            <v:path/>
            <v:fill on="f" focussize="0,0"/>
            <v:stroke on="f" joinstyle="miter"/>
            <v:imagedata r:id="rId15" o:title=""/>
            <o:lock v:ext="edit" aspectratio="t"/>
            <w10:wrap type="topAndBottom"/>
          </v:shape>
          <o:OLEObject Type="Embed" ProgID="Excel.Chart.8" ShapeID="_x0000_s1032" DrawAspect="Content" ObjectID="_1468075729" r:id="rId14">
            <o:LockedField>false</o:LockedField>
          </o:OLEObject>
        </w:pict>
      </w:r>
      <w:r>
        <w:rPr>
          <w:rFonts w:hint="eastAsia" w:eastAsia="仿宋_GB2312"/>
          <w:sz w:val="32"/>
          <w:szCs w:val="32"/>
        </w:rPr>
        <w:t>2024年度一般公共预算财政拨款支出174.8万元，占本年支出合计的100%。与2023年度相比，一般公共预算财政拨款支出减少10.58万元，下降5.7%。主要变动原因是财政票据工本费项目减少。</w:t>
      </w:r>
      <w:bookmarkStart w:id="62" w:name="_Toc15377211"/>
    </w:p>
    <w:p>
      <w:pPr>
        <w:spacing w:line="600" w:lineRule="exact"/>
        <w:ind w:firstLine="642" w:firstLineChars="200"/>
        <w:rPr>
          <w:rFonts w:ascii="楷体_GB2312" w:eastAsia="楷体_GB2312"/>
          <w:b/>
          <w:sz w:val="32"/>
          <w:szCs w:val="32"/>
        </w:rPr>
      </w:pPr>
      <w:r>
        <w:rPr>
          <w:rFonts w:hint="eastAsia" w:ascii="楷体_GB2312" w:eastAsia="楷体_GB2312"/>
          <w:b/>
          <w:sz w:val="32"/>
          <w:szCs w:val="32"/>
        </w:rPr>
        <w:t>（二）一般公共预算财政拨款支出决算结构情况</w:t>
      </w:r>
      <w:bookmarkEnd w:id="62"/>
    </w:p>
    <w:p>
      <w:pPr>
        <w:spacing w:line="600" w:lineRule="exact"/>
        <w:ind w:firstLine="640" w:firstLineChars="200"/>
        <w:rPr>
          <w:rFonts w:eastAsia="仿宋_GB2312"/>
          <w:sz w:val="32"/>
          <w:szCs w:val="32"/>
        </w:rPr>
      </w:pPr>
      <w:r>
        <w:rPr>
          <w:rFonts w:hint="eastAsia" w:eastAsia="仿宋_GB2312"/>
          <w:sz w:val="32"/>
          <w:szCs w:val="32"/>
        </w:rPr>
        <w:t>2024年度一般公共预算财政拨款支出174.8万元，主要用于以下方面：一般公共服务201（类）支出147.09万元，占84.14%；社会保障和就业208（类）支出11.41万元，占6.53%；卫生健康支出210（类）5.72万元，占3.27%；住房保障支出221（类）10.58万元，占6.05%；</w:t>
      </w:r>
    </w:p>
    <w:p>
      <w:pPr>
        <w:spacing w:line="600" w:lineRule="exact"/>
        <w:ind w:firstLine="640" w:firstLineChars="200"/>
        <w:rPr>
          <w:rFonts w:eastAsia="仿宋_GB2312"/>
          <w:sz w:val="32"/>
          <w:szCs w:val="32"/>
        </w:rPr>
      </w:pPr>
      <w:r>
        <w:rPr>
          <w:rFonts w:eastAsia="仿宋_GB2312"/>
          <w:sz w:val="32"/>
          <w:szCs w:val="32"/>
        </w:rPr>
        <w:pict>
          <v:shape id="_x0000_s1033" o:spid="_x0000_s1033" o:spt="75" type="#_x0000_t75" style="position:absolute;left:0pt;margin-left:15pt;margin-top:23.7pt;height:179.75pt;width:414pt;z-index:251664384;mso-width-relative:page;mso-height-relative:page;" o:ole="t" filled="f" o:preferrelative="t" stroked="f" coordsize="21600,21600">
            <v:path/>
            <v:fill on="f" focussize="0,0"/>
            <v:stroke on="f" joinstyle="miter"/>
            <v:imagedata r:id="rId17" o:title=""/>
            <o:lock v:ext="edit" aspectratio="t"/>
          </v:shape>
          <o:OLEObject Type="Embed" ProgID="Excel.Chart.8" ShapeID="_x0000_s1033" DrawAspect="Content" ObjectID="_1468075730" r:id="rId16">
            <o:LockedField>false</o:LockedField>
          </o:OLEObject>
        </w:pict>
      </w:r>
    </w:p>
    <w:p>
      <w:pPr>
        <w:spacing w:line="600" w:lineRule="exact"/>
        <w:ind w:firstLine="640" w:firstLineChars="200"/>
        <w:rPr>
          <w:rFonts w:eastAsia="仿宋_GB2312"/>
          <w:sz w:val="32"/>
          <w:szCs w:val="32"/>
        </w:rPr>
      </w:pPr>
    </w:p>
    <w:p>
      <w:pPr>
        <w:spacing w:line="600" w:lineRule="exact"/>
        <w:ind w:firstLine="640" w:firstLineChars="200"/>
        <w:rPr>
          <w:rFonts w:eastAsia="仿宋_GB2312"/>
          <w:sz w:val="32"/>
          <w:szCs w:val="32"/>
        </w:rPr>
      </w:pPr>
    </w:p>
    <w:p>
      <w:pPr>
        <w:spacing w:line="600" w:lineRule="exact"/>
        <w:ind w:firstLine="640" w:firstLineChars="200"/>
        <w:rPr>
          <w:rFonts w:eastAsia="仿宋_GB2312"/>
          <w:sz w:val="32"/>
          <w:szCs w:val="32"/>
        </w:rPr>
      </w:pPr>
    </w:p>
    <w:p>
      <w:pPr>
        <w:spacing w:line="600" w:lineRule="exact"/>
        <w:ind w:firstLine="640" w:firstLineChars="200"/>
        <w:rPr>
          <w:rFonts w:eastAsia="仿宋_GB2312"/>
          <w:sz w:val="32"/>
          <w:szCs w:val="32"/>
        </w:rPr>
      </w:pPr>
    </w:p>
    <w:p>
      <w:pPr>
        <w:spacing w:line="600" w:lineRule="exact"/>
        <w:ind w:firstLine="640" w:firstLineChars="200"/>
        <w:rPr>
          <w:rFonts w:eastAsia="仿宋_GB2312"/>
          <w:sz w:val="32"/>
          <w:szCs w:val="32"/>
        </w:rPr>
      </w:pPr>
    </w:p>
    <w:p>
      <w:pPr>
        <w:spacing w:line="600" w:lineRule="exact"/>
        <w:ind w:firstLine="640" w:firstLineChars="200"/>
        <w:rPr>
          <w:rFonts w:eastAsia="仿宋_GB2312"/>
          <w:sz w:val="32"/>
          <w:szCs w:val="32"/>
        </w:rPr>
      </w:pPr>
    </w:p>
    <w:p>
      <w:pPr>
        <w:spacing w:line="600" w:lineRule="exact"/>
        <w:ind w:firstLine="642" w:firstLineChars="200"/>
        <w:rPr>
          <w:rFonts w:ascii="楷体_GB2312" w:eastAsia="楷体_GB2312"/>
          <w:b/>
          <w:sz w:val="32"/>
          <w:szCs w:val="32"/>
        </w:rPr>
      </w:pPr>
      <w:bookmarkStart w:id="63" w:name="_Toc15377212"/>
      <w:r>
        <w:rPr>
          <w:rFonts w:hint="eastAsia" w:ascii="楷体_GB2312" w:eastAsia="楷体_GB2312"/>
          <w:b/>
          <w:sz w:val="32"/>
          <w:szCs w:val="32"/>
        </w:rPr>
        <w:t>（三）一般公共预算财政拨款支出决算具体情况</w:t>
      </w:r>
      <w:bookmarkEnd w:id="63"/>
    </w:p>
    <w:p>
      <w:pPr>
        <w:spacing w:line="600" w:lineRule="exact"/>
        <w:ind w:firstLine="640" w:firstLineChars="200"/>
        <w:rPr>
          <w:rFonts w:eastAsia="仿宋_GB2312"/>
          <w:sz w:val="32"/>
          <w:szCs w:val="32"/>
        </w:rPr>
      </w:pPr>
      <w:bookmarkStart w:id="64" w:name="_Toc15377444"/>
      <w:bookmarkStart w:id="65" w:name="_Toc15378460"/>
      <w:bookmarkStart w:id="66" w:name="_Toc15377213"/>
      <w:r>
        <w:rPr>
          <w:rFonts w:hint="eastAsia" w:eastAsia="仿宋_GB2312"/>
          <w:sz w:val="32"/>
          <w:szCs w:val="32"/>
        </w:rPr>
        <w:t>2024年度一般公共预算财政拨款支出决算数为174.8，完成预算89.66%。其中：</w:t>
      </w:r>
      <w:bookmarkEnd w:id="64"/>
      <w:bookmarkEnd w:id="65"/>
      <w:bookmarkEnd w:id="66"/>
    </w:p>
    <w:p>
      <w:pPr>
        <w:pStyle w:val="2"/>
        <w:spacing w:beforeLines="0"/>
        <w:ind w:firstLine="602" w:firstLineChars="200"/>
        <w:rPr>
          <w:rFonts w:ascii="Times New Roman"/>
          <w:szCs w:val="30"/>
        </w:rPr>
      </w:pPr>
      <w:bookmarkStart w:id="67" w:name="OLE_LINK1"/>
      <w:r>
        <w:rPr>
          <w:rStyle w:val="18"/>
          <w:rFonts w:ascii="Times New Roman"/>
          <w:bCs/>
          <w:szCs w:val="30"/>
        </w:rPr>
        <w:t>1. 一般公共服务支</w:t>
      </w:r>
      <w:r>
        <w:rPr>
          <w:rStyle w:val="18"/>
          <w:rFonts w:hint="eastAsia" w:ascii="Times New Roman"/>
          <w:bCs/>
          <w:szCs w:val="30"/>
        </w:rPr>
        <w:t>出</w:t>
      </w:r>
      <w:r>
        <w:rPr>
          <w:rStyle w:val="18"/>
          <w:rFonts w:ascii="Times New Roman"/>
          <w:bCs/>
          <w:szCs w:val="30"/>
        </w:rPr>
        <w:t>201（类）财政事务06（款）行政运行01（项）:</w:t>
      </w:r>
      <w:r>
        <w:rPr>
          <w:rStyle w:val="18"/>
          <w:rFonts w:ascii="Times New Roman"/>
          <w:b w:val="0"/>
          <w:bCs/>
          <w:szCs w:val="30"/>
        </w:rPr>
        <w:t xml:space="preserve"> 支出决算为</w:t>
      </w:r>
      <w:r>
        <w:rPr>
          <w:rStyle w:val="18"/>
          <w:rFonts w:hint="eastAsia" w:ascii="Times New Roman"/>
          <w:b w:val="0"/>
          <w:bCs/>
          <w:szCs w:val="30"/>
        </w:rPr>
        <w:t>112.25</w:t>
      </w:r>
      <w:r>
        <w:rPr>
          <w:rStyle w:val="18"/>
          <w:rFonts w:ascii="Times New Roman"/>
          <w:b w:val="0"/>
          <w:bCs/>
          <w:szCs w:val="30"/>
        </w:rPr>
        <w:t>万元，完成预算</w:t>
      </w:r>
      <w:r>
        <w:rPr>
          <w:rStyle w:val="18"/>
          <w:rFonts w:hint="eastAsia" w:ascii="Times New Roman"/>
          <w:b w:val="0"/>
          <w:bCs/>
          <w:szCs w:val="30"/>
        </w:rPr>
        <w:t>87.22%</w:t>
      </w:r>
      <w:r>
        <w:rPr>
          <w:rStyle w:val="18"/>
          <w:rFonts w:ascii="Times New Roman"/>
          <w:b w:val="0"/>
          <w:bCs/>
          <w:szCs w:val="30"/>
        </w:rPr>
        <w:t>，决算数</w:t>
      </w:r>
      <w:r>
        <w:rPr>
          <w:rStyle w:val="18"/>
          <w:rFonts w:hint="eastAsia" w:ascii="Times New Roman"/>
          <w:b w:val="0"/>
          <w:bCs/>
          <w:szCs w:val="30"/>
        </w:rPr>
        <w:t>小</w:t>
      </w:r>
      <w:r>
        <w:rPr>
          <w:rStyle w:val="18"/>
          <w:rFonts w:ascii="Times New Roman"/>
          <w:b w:val="0"/>
          <w:bCs/>
          <w:szCs w:val="30"/>
        </w:rPr>
        <w:t>于预算数</w:t>
      </w:r>
      <w:r>
        <w:rPr>
          <w:rStyle w:val="18"/>
          <w:rFonts w:hint="eastAsia" w:ascii="Times New Roman"/>
          <w:b w:val="0"/>
          <w:bCs/>
          <w:szCs w:val="30"/>
        </w:rPr>
        <w:t>，主要原因是厉行节约，减少公用经费使用。</w:t>
      </w:r>
    </w:p>
    <w:p>
      <w:pPr>
        <w:pStyle w:val="2"/>
        <w:spacing w:beforeLines="0"/>
        <w:ind w:firstLine="602" w:firstLineChars="200"/>
        <w:rPr>
          <w:rStyle w:val="18"/>
          <w:rFonts w:ascii="Times New Roman"/>
          <w:bCs/>
          <w:szCs w:val="30"/>
        </w:rPr>
      </w:pPr>
      <w:r>
        <w:rPr>
          <w:rStyle w:val="18"/>
          <w:rFonts w:ascii="Times New Roman"/>
          <w:bCs/>
          <w:szCs w:val="30"/>
        </w:rPr>
        <w:t>2. 一般公共服务支</w:t>
      </w:r>
      <w:r>
        <w:rPr>
          <w:rStyle w:val="18"/>
          <w:rFonts w:hint="eastAsia" w:ascii="Times New Roman"/>
          <w:bCs/>
          <w:szCs w:val="30"/>
        </w:rPr>
        <w:t>出</w:t>
      </w:r>
      <w:r>
        <w:rPr>
          <w:rStyle w:val="18"/>
          <w:rFonts w:ascii="Times New Roman"/>
          <w:bCs/>
          <w:szCs w:val="30"/>
        </w:rPr>
        <w:t>201（类）财政事务06（款）其他财政事务支出99（项）:</w:t>
      </w:r>
      <w:r>
        <w:rPr>
          <w:rStyle w:val="18"/>
          <w:rFonts w:ascii="Times New Roman"/>
          <w:b w:val="0"/>
          <w:bCs/>
          <w:szCs w:val="30"/>
        </w:rPr>
        <w:t xml:space="preserve"> 支出决算为</w:t>
      </w:r>
      <w:r>
        <w:rPr>
          <w:rStyle w:val="18"/>
          <w:rFonts w:hint="eastAsia" w:ascii="Times New Roman"/>
          <w:b w:val="0"/>
          <w:bCs/>
          <w:szCs w:val="30"/>
        </w:rPr>
        <w:t>32</w:t>
      </w:r>
      <w:r>
        <w:rPr>
          <w:rStyle w:val="18"/>
          <w:rFonts w:ascii="Times New Roman"/>
          <w:b w:val="0"/>
          <w:bCs/>
          <w:szCs w:val="30"/>
        </w:rPr>
        <w:t>万元，完成预算100%，</w:t>
      </w:r>
      <w:r>
        <w:rPr>
          <w:rStyle w:val="18"/>
          <w:rFonts w:ascii="Times New Roman"/>
          <w:bCs/>
          <w:szCs w:val="30"/>
        </w:rPr>
        <w:t>决算数等于预算数。</w:t>
      </w:r>
    </w:p>
    <w:p>
      <w:pPr>
        <w:pStyle w:val="2"/>
        <w:spacing w:beforeLines="0"/>
        <w:ind w:firstLine="602" w:firstLineChars="200"/>
        <w:rPr>
          <w:rFonts w:ascii="Times New Roman" w:cs="仿宋_GB2312"/>
          <w:kern w:val="2"/>
          <w:sz w:val="32"/>
          <w:szCs w:val="32"/>
        </w:rPr>
      </w:pPr>
      <w:r>
        <w:rPr>
          <w:rStyle w:val="18"/>
          <w:rFonts w:ascii="Times New Roman"/>
          <w:bCs/>
          <w:szCs w:val="30"/>
        </w:rPr>
        <w:t>3. 一般公共服务支</w:t>
      </w:r>
      <w:r>
        <w:rPr>
          <w:rStyle w:val="18"/>
          <w:rFonts w:hint="eastAsia" w:ascii="Times New Roman"/>
          <w:bCs/>
          <w:szCs w:val="30"/>
        </w:rPr>
        <w:t>出</w:t>
      </w:r>
      <w:r>
        <w:rPr>
          <w:rStyle w:val="18"/>
          <w:rFonts w:ascii="Times New Roman"/>
          <w:bCs/>
          <w:szCs w:val="30"/>
        </w:rPr>
        <w:t xml:space="preserve">201（类）财政事务06（款）财政监察06（项） </w:t>
      </w:r>
      <w:r>
        <w:rPr>
          <w:rStyle w:val="18"/>
          <w:b w:val="0"/>
          <w:bCs/>
          <w:szCs w:val="30"/>
        </w:rPr>
        <w:t>支</w:t>
      </w:r>
      <w:r>
        <w:rPr>
          <w:rFonts w:ascii="Times New Roman" w:cs="仿宋_GB2312"/>
          <w:kern w:val="2"/>
          <w:sz w:val="32"/>
          <w:szCs w:val="32"/>
        </w:rPr>
        <w:t>出决算为21.78万元，完成预算100%，决算数等于预算数。</w:t>
      </w:r>
    </w:p>
    <w:p>
      <w:pPr>
        <w:pStyle w:val="2"/>
        <w:spacing w:beforeLines="0"/>
        <w:ind w:firstLine="602" w:firstLineChars="200"/>
        <w:rPr>
          <w:rFonts w:ascii="Times New Roman" w:cs="仿宋_GB2312"/>
          <w:kern w:val="2"/>
          <w:sz w:val="32"/>
          <w:szCs w:val="32"/>
        </w:rPr>
      </w:pPr>
      <w:r>
        <w:rPr>
          <w:rStyle w:val="18"/>
          <w:rFonts w:ascii="Times New Roman"/>
          <w:bCs/>
          <w:szCs w:val="30"/>
        </w:rPr>
        <w:t>4. 一般公共服务支</w:t>
      </w:r>
      <w:r>
        <w:rPr>
          <w:rStyle w:val="18"/>
          <w:rFonts w:hint="eastAsia" w:ascii="Times New Roman"/>
          <w:bCs/>
          <w:szCs w:val="30"/>
        </w:rPr>
        <w:t>出</w:t>
      </w:r>
      <w:r>
        <w:rPr>
          <w:rStyle w:val="18"/>
          <w:rFonts w:ascii="Times New Roman"/>
          <w:bCs/>
          <w:szCs w:val="30"/>
        </w:rPr>
        <w:t>201（类）财政事务06（款）事业运行50（项）</w:t>
      </w:r>
      <w:r>
        <w:rPr>
          <w:rStyle w:val="18"/>
          <w:rFonts w:ascii="Times New Roman"/>
          <w:b w:val="0"/>
          <w:bCs/>
          <w:szCs w:val="30"/>
        </w:rPr>
        <w:t xml:space="preserve"> </w:t>
      </w:r>
      <w:r>
        <w:rPr>
          <w:rFonts w:ascii="Times New Roman" w:cs="仿宋_GB2312"/>
          <w:kern w:val="2"/>
          <w:sz w:val="32"/>
          <w:szCs w:val="32"/>
        </w:rPr>
        <w:t>支出决算为</w:t>
      </w:r>
      <w:r>
        <w:rPr>
          <w:rFonts w:hint="eastAsia" w:ascii="Times New Roman" w:cs="仿宋_GB2312"/>
          <w:kern w:val="2"/>
          <w:sz w:val="32"/>
          <w:szCs w:val="32"/>
        </w:rPr>
        <w:t>2.83</w:t>
      </w:r>
      <w:r>
        <w:rPr>
          <w:rFonts w:ascii="Times New Roman" w:cs="仿宋_GB2312"/>
          <w:kern w:val="2"/>
          <w:sz w:val="32"/>
          <w:szCs w:val="32"/>
        </w:rPr>
        <w:t>万元，完成预算100%，决算数</w:t>
      </w:r>
      <w:r>
        <w:rPr>
          <w:rFonts w:hint="eastAsia" w:ascii="Times New Roman" w:cs="仿宋_GB2312"/>
          <w:kern w:val="2"/>
          <w:sz w:val="32"/>
          <w:szCs w:val="32"/>
        </w:rPr>
        <w:t>小于</w:t>
      </w:r>
      <w:r>
        <w:rPr>
          <w:rFonts w:ascii="Times New Roman" w:cs="仿宋_GB2312"/>
          <w:kern w:val="2"/>
          <w:sz w:val="32"/>
          <w:szCs w:val="32"/>
        </w:rPr>
        <w:t>预算数</w:t>
      </w:r>
      <w:r>
        <w:rPr>
          <w:rFonts w:hint="eastAsia" w:ascii="Times New Roman" w:cs="仿宋_GB2312"/>
          <w:kern w:val="2"/>
          <w:sz w:val="32"/>
          <w:szCs w:val="32"/>
        </w:rPr>
        <w:t>，主要原因是其他对个人和家庭的补助减少。</w:t>
      </w:r>
    </w:p>
    <w:p>
      <w:pPr>
        <w:spacing w:line="600" w:lineRule="exact"/>
        <w:ind w:firstLine="642" w:firstLineChars="200"/>
        <w:rPr>
          <w:rFonts w:eastAsia="仿宋_GB2312" w:cs="仿宋_GB2312"/>
          <w:sz w:val="32"/>
          <w:szCs w:val="32"/>
        </w:rPr>
      </w:pPr>
      <w:r>
        <w:rPr>
          <w:rFonts w:cs="仿宋_GB2312"/>
          <w:b/>
          <w:sz w:val="32"/>
          <w:szCs w:val="32"/>
        </w:rPr>
        <w:t>5. 社会保障和就业支出208（类）行政事业单位养老支</w:t>
      </w:r>
      <w:r>
        <w:rPr>
          <w:rFonts w:hint="eastAsia" w:cs="仿宋_GB2312"/>
          <w:b/>
          <w:sz w:val="32"/>
          <w:szCs w:val="32"/>
        </w:rPr>
        <w:t>出</w:t>
      </w:r>
      <w:r>
        <w:rPr>
          <w:rFonts w:cs="仿宋_GB2312"/>
          <w:b/>
          <w:sz w:val="32"/>
          <w:szCs w:val="32"/>
        </w:rPr>
        <w:t>05（款）行政单位离退休01（项）:</w:t>
      </w:r>
      <w:r>
        <w:rPr>
          <w:rFonts w:cs="仿宋_GB2312"/>
          <w:sz w:val="32"/>
          <w:szCs w:val="32"/>
        </w:rPr>
        <w:t xml:space="preserve"> </w:t>
      </w:r>
      <w:r>
        <w:rPr>
          <w:rFonts w:eastAsia="仿宋_GB2312" w:cs="仿宋_GB2312"/>
          <w:sz w:val="32"/>
          <w:szCs w:val="32"/>
        </w:rPr>
        <w:t>支出决算为</w:t>
      </w:r>
      <w:r>
        <w:rPr>
          <w:rFonts w:hint="eastAsia" w:eastAsia="仿宋_GB2312" w:cs="仿宋_GB2312"/>
          <w:sz w:val="32"/>
          <w:szCs w:val="32"/>
        </w:rPr>
        <w:t>0.04</w:t>
      </w:r>
      <w:r>
        <w:rPr>
          <w:rFonts w:eastAsia="仿宋_GB2312" w:cs="仿宋_GB2312"/>
          <w:sz w:val="32"/>
          <w:szCs w:val="32"/>
        </w:rPr>
        <w:t>万元，完成预算</w:t>
      </w:r>
      <w:r>
        <w:rPr>
          <w:rFonts w:hint="eastAsia" w:eastAsia="仿宋_GB2312" w:cs="仿宋_GB2312"/>
          <w:sz w:val="32"/>
          <w:szCs w:val="32"/>
        </w:rPr>
        <w:t>4.8</w:t>
      </w:r>
      <w:r>
        <w:rPr>
          <w:rFonts w:eastAsia="仿宋_GB2312" w:cs="仿宋_GB2312"/>
          <w:sz w:val="32"/>
          <w:szCs w:val="32"/>
        </w:rPr>
        <w:t>%，决算数</w:t>
      </w:r>
      <w:r>
        <w:rPr>
          <w:rFonts w:hint="eastAsia" w:eastAsia="仿宋_GB2312" w:cs="仿宋_GB2312"/>
          <w:sz w:val="32"/>
          <w:szCs w:val="32"/>
        </w:rPr>
        <w:t>小</w:t>
      </w:r>
      <w:r>
        <w:rPr>
          <w:rFonts w:eastAsia="仿宋_GB2312" w:cs="仿宋_GB2312"/>
          <w:sz w:val="32"/>
          <w:szCs w:val="32"/>
        </w:rPr>
        <w:t>于预算数</w:t>
      </w:r>
      <w:r>
        <w:rPr>
          <w:rFonts w:hint="eastAsia" w:eastAsia="仿宋_GB2312" w:cs="仿宋_GB2312"/>
          <w:sz w:val="32"/>
          <w:szCs w:val="32"/>
        </w:rPr>
        <w:t>，主要原因是行政单位离退休公用经费未使用。</w:t>
      </w:r>
    </w:p>
    <w:p>
      <w:pPr>
        <w:spacing w:line="600" w:lineRule="exact"/>
        <w:ind w:firstLine="642" w:firstLineChars="200"/>
        <w:rPr>
          <w:rFonts w:eastAsia="仿宋_GB2312" w:cs="仿宋_GB2312"/>
          <w:sz w:val="32"/>
          <w:szCs w:val="32"/>
        </w:rPr>
      </w:pPr>
      <w:r>
        <w:rPr>
          <w:rFonts w:eastAsia="仿宋_GB2312" w:cs="仿宋_GB2312"/>
          <w:b/>
          <w:sz w:val="32"/>
          <w:szCs w:val="32"/>
        </w:rPr>
        <w:t>6. 社会保障和就业支出208（类）行政事业单位养老支</w:t>
      </w:r>
      <w:r>
        <w:rPr>
          <w:rFonts w:hint="eastAsia" w:eastAsia="仿宋_GB2312" w:cs="仿宋_GB2312"/>
          <w:b/>
          <w:sz w:val="32"/>
          <w:szCs w:val="32"/>
        </w:rPr>
        <w:t>出</w:t>
      </w:r>
      <w:r>
        <w:rPr>
          <w:rFonts w:eastAsia="仿宋_GB2312" w:cs="仿宋_GB2312"/>
          <w:b/>
          <w:sz w:val="32"/>
          <w:szCs w:val="32"/>
        </w:rPr>
        <w:t xml:space="preserve">05（款）事业单位离退休02（项）: </w:t>
      </w:r>
      <w:r>
        <w:rPr>
          <w:rFonts w:eastAsia="仿宋_GB2312" w:cs="仿宋_GB2312"/>
          <w:sz w:val="32"/>
          <w:szCs w:val="32"/>
        </w:rPr>
        <w:t>支出决算为</w:t>
      </w:r>
      <w:r>
        <w:rPr>
          <w:rFonts w:hint="eastAsia" w:eastAsia="仿宋_GB2312" w:cs="仿宋_GB2312"/>
          <w:sz w:val="32"/>
          <w:szCs w:val="32"/>
        </w:rPr>
        <w:t>0</w:t>
      </w:r>
      <w:r>
        <w:rPr>
          <w:rFonts w:eastAsia="仿宋_GB2312" w:cs="仿宋_GB2312"/>
          <w:sz w:val="32"/>
          <w:szCs w:val="32"/>
        </w:rPr>
        <w:t>万元，完成预算</w:t>
      </w:r>
      <w:r>
        <w:rPr>
          <w:rFonts w:hint="eastAsia" w:eastAsia="仿宋_GB2312" w:cs="仿宋_GB2312"/>
          <w:sz w:val="32"/>
          <w:szCs w:val="32"/>
        </w:rPr>
        <w:t>0</w:t>
      </w:r>
      <w:r>
        <w:rPr>
          <w:rFonts w:eastAsia="仿宋_GB2312" w:cs="仿宋_GB2312"/>
          <w:sz w:val="32"/>
          <w:szCs w:val="32"/>
        </w:rPr>
        <w:t>%，决算数</w:t>
      </w:r>
      <w:r>
        <w:rPr>
          <w:rFonts w:hint="eastAsia" w:eastAsia="仿宋_GB2312" w:cs="仿宋_GB2312"/>
          <w:sz w:val="32"/>
          <w:szCs w:val="32"/>
        </w:rPr>
        <w:t>小</w:t>
      </w:r>
      <w:r>
        <w:rPr>
          <w:rFonts w:eastAsia="仿宋_GB2312" w:cs="仿宋_GB2312"/>
          <w:sz w:val="32"/>
          <w:szCs w:val="32"/>
        </w:rPr>
        <w:t>于预算数</w:t>
      </w:r>
      <w:r>
        <w:rPr>
          <w:rFonts w:hint="eastAsia" w:eastAsia="仿宋_GB2312" w:cs="仿宋_GB2312"/>
          <w:sz w:val="32"/>
          <w:szCs w:val="32"/>
        </w:rPr>
        <w:t>，主要原因是事业单位离退休公用经费未使用。</w:t>
      </w:r>
    </w:p>
    <w:p>
      <w:pPr>
        <w:spacing w:line="600" w:lineRule="exact"/>
        <w:ind w:firstLine="642" w:firstLineChars="200"/>
        <w:rPr>
          <w:rFonts w:eastAsia="仿宋_GB2312" w:cs="仿宋_GB2312"/>
          <w:sz w:val="32"/>
          <w:szCs w:val="32"/>
        </w:rPr>
      </w:pPr>
      <w:r>
        <w:rPr>
          <w:rFonts w:eastAsia="仿宋_GB2312" w:cs="仿宋_GB2312"/>
          <w:b/>
          <w:sz w:val="32"/>
          <w:szCs w:val="32"/>
        </w:rPr>
        <w:t>7. 社会保障和就业支出208（类）行政事业单位养老支</w:t>
      </w:r>
      <w:r>
        <w:rPr>
          <w:rFonts w:hint="eastAsia" w:eastAsia="仿宋_GB2312" w:cs="仿宋_GB2312"/>
          <w:b/>
          <w:sz w:val="32"/>
          <w:szCs w:val="32"/>
        </w:rPr>
        <w:t>出</w:t>
      </w:r>
      <w:r>
        <w:rPr>
          <w:rFonts w:eastAsia="仿宋_GB2312" w:cs="仿宋_GB2312"/>
          <w:b/>
          <w:sz w:val="32"/>
          <w:szCs w:val="32"/>
        </w:rPr>
        <w:t xml:space="preserve">05（款）机关事业单位基本养老保险缴费支出05（项）: </w:t>
      </w:r>
      <w:r>
        <w:rPr>
          <w:rFonts w:eastAsia="仿宋_GB2312" w:cs="仿宋_GB2312"/>
          <w:sz w:val="32"/>
          <w:szCs w:val="32"/>
        </w:rPr>
        <w:t>支出决算为</w:t>
      </w:r>
      <w:r>
        <w:rPr>
          <w:rFonts w:hint="eastAsia" w:eastAsia="仿宋_GB2312" w:cs="仿宋_GB2312"/>
          <w:sz w:val="32"/>
          <w:szCs w:val="32"/>
        </w:rPr>
        <w:t>11.36</w:t>
      </w:r>
      <w:r>
        <w:rPr>
          <w:rFonts w:eastAsia="仿宋_GB2312" w:cs="仿宋_GB2312"/>
          <w:sz w:val="32"/>
          <w:szCs w:val="32"/>
        </w:rPr>
        <w:t>万元，完成预算</w:t>
      </w:r>
      <w:r>
        <w:rPr>
          <w:rFonts w:hint="eastAsia" w:eastAsia="仿宋_GB2312" w:cs="仿宋_GB2312"/>
          <w:sz w:val="32"/>
          <w:szCs w:val="32"/>
        </w:rPr>
        <w:t>92.07</w:t>
      </w:r>
      <w:r>
        <w:rPr>
          <w:rFonts w:eastAsia="仿宋_GB2312" w:cs="仿宋_GB2312"/>
          <w:sz w:val="32"/>
          <w:szCs w:val="32"/>
        </w:rPr>
        <w:t>%，决算数</w:t>
      </w:r>
      <w:r>
        <w:rPr>
          <w:rFonts w:hint="eastAsia" w:eastAsia="仿宋_GB2312" w:cs="仿宋_GB2312"/>
          <w:sz w:val="32"/>
          <w:szCs w:val="32"/>
        </w:rPr>
        <w:t>小</w:t>
      </w:r>
      <w:r>
        <w:rPr>
          <w:rFonts w:eastAsia="仿宋_GB2312" w:cs="仿宋_GB2312"/>
          <w:sz w:val="32"/>
          <w:szCs w:val="32"/>
        </w:rPr>
        <w:t>于预算数</w:t>
      </w:r>
      <w:r>
        <w:rPr>
          <w:rFonts w:hint="eastAsia" w:eastAsia="仿宋_GB2312" w:cs="仿宋_GB2312"/>
          <w:sz w:val="32"/>
          <w:szCs w:val="32"/>
        </w:rPr>
        <w:t>，主要原因是人员调出。</w:t>
      </w:r>
    </w:p>
    <w:p>
      <w:pPr>
        <w:spacing w:line="600" w:lineRule="exact"/>
        <w:ind w:firstLine="642" w:firstLineChars="200"/>
        <w:rPr>
          <w:rFonts w:eastAsia="仿宋_GB2312" w:cs="仿宋_GB2312"/>
          <w:sz w:val="32"/>
          <w:szCs w:val="32"/>
        </w:rPr>
      </w:pPr>
      <w:r>
        <w:rPr>
          <w:rFonts w:eastAsia="仿宋_GB2312" w:cs="仿宋_GB2312"/>
          <w:b/>
          <w:sz w:val="32"/>
          <w:szCs w:val="32"/>
        </w:rPr>
        <w:t>8. 卫生健康支出210（类）行政事业单位医疗11（款）行政单位医疗01（项）</w:t>
      </w:r>
      <w:r>
        <w:rPr>
          <w:rFonts w:hint="eastAsia" w:eastAsia="仿宋_GB2312" w:cs="仿宋_GB2312"/>
          <w:b/>
          <w:sz w:val="32"/>
          <w:szCs w:val="32"/>
        </w:rPr>
        <w:t>：</w:t>
      </w:r>
      <w:r>
        <w:rPr>
          <w:rFonts w:eastAsia="仿宋_GB2312" w:cs="仿宋_GB2312"/>
          <w:sz w:val="32"/>
          <w:szCs w:val="32"/>
        </w:rPr>
        <w:t>支出决算为5</w:t>
      </w:r>
      <w:r>
        <w:rPr>
          <w:rFonts w:hint="eastAsia" w:eastAsia="仿宋_GB2312" w:cs="仿宋_GB2312"/>
          <w:sz w:val="32"/>
          <w:szCs w:val="32"/>
        </w:rPr>
        <w:t>.71</w:t>
      </w:r>
      <w:r>
        <w:rPr>
          <w:rFonts w:eastAsia="仿宋_GB2312" w:cs="仿宋_GB2312"/>
          <w:sz w:val="32"/>
          <w:szCs w:val="32"/>
        </w:rPr>
        <w:t>万元，完成预算</w:t>
      </w:r>
      <w:r>
        <w:rPr>
          <w:rFonts w:hint="eastAsia" w:eastAsia="仿宋_GB2312" w:cs="仿宋_GB2312"/>
          <w:sz w:val="32"/>
          <w:szCs w:val="32"/>
        </w:rPr>
        <w:t>93.18</w:t>
      </w:r>
      <w:r>
        <w:rPr>
          <w:rFonts w:eastAsia="仿宋_GB2312" w:cs="仿宋_GB2312"/>
          <w:sz w:val="32"/>
          <w:szCs w:val="32"/>
        </w:rPr>
        <w:t>%，决算数</w:t>
      </w:r>
      <w:r>
        <w:rPr>
          <w:rFonts w:hint="eastAsia" w:eastAsia="仿宋_GB2312" w:cs="仿宋_GB2312"/>
          <w:sz w:val="32"/>
          <w:szCs w:val="32"/>
        </w:rPr>
        <w:t>小</w:t>
      </w:r>
      <w:r>
        <w:rPr>
          <w:rFonts w:eastAsia="仿宋_GB2312" w:cs="仿宋_GB2312"/>
          <w:sz w:val="32"/>
          <w:szCs w:val="32"/>
        </w:rPr>
        <w:t>于预算数</w:t>
      </w:r>
      <w:r>
        <w:rPr>
          <w:rFonts w:hint="eastAsia" w:eastAsia="仿宋_GB2312" w:cs="仿宋_GB2312"/>
          <w:sz w:val="32"/>
          <w:szCs w:val="32"/>
        </w:rPr>
        <w:t>，主要原因是人员调出。</w:t>
      </w:r>
    </w:p>
    <w:p>
      <w:pPr>
        <w:spacing w:line="600" w:lineRule="exact"/>
        <w:ind w:firstLine="642" w:firstLineChars="200"/>
        <w:rPr>
          <w:rFonts w:eastAsia="仿宋_GB2312" w:cs="仿宋_GB2312"/>
          <w:sz w:val="32"/>
          <w:szCs w:val="32"/>
        </w:rPr>
      </w:pPr>
      <w:r>
        <w:rPr>
          <w:rFonts w:eastAsia="仿宋_GB2312" w:cs="仿宋_GB2312"/>
          <w:b/>
          <w:sz w:val="32"/>
          <w:szCs w:val="32"/>
        </w:rPr>
        <w:t>9. 住房保障支出221（类）住房改革支出02（款）01住房公积金（项）</w:t>
      </w:r>
      <w:r>
        <w:rPr>
          <w:rFonts w:hint="eastAsia" w:eastAsia="仿宋_GB2312" w:cs="仿宋_GB2312"/>
          <w:b/>
          <w:sz w:val="32"/>
          <w:szCs w:val="32"/>
        </w:rPr>
        <w:t>：</w:t>
      </w:r>
      <w:r>
        <w:rPr>
          <w:rFonts w:eastAsia="仿宋_GB2312" w:cs="仿宋_GB2312"/>
          <w:sz w:val="32"/>
          <w:szCs w:val="32"/>
        </w:rPr>
        <w:t>支出决算为</w:t>
      </w:r>
      <w:r>
        <w:rPr>
          <w:rFonts w:hint="eastAsia" w:eastAsia="仿宋_GB2312" w:cs="仿宋_GB2312"/>
          <w:sz w:val="32"/>
          <w:szCs w:val="32"/>
        </w:rPr>
        <w:t>10.58</w:t>
      </w:r>
      <w:r>
        <w:rPr>
          <w:rFonts w:eastAsia="仿宋_GB2312" w:cs="仿宋_GB2312"/>
          <w:sz w:val="32"/>
          <w:szCs w:val="32"/>
        </w:rPr>
        <w:t>万元，完成预算</w:t>
      </w:r>
      <w:r>
        <w:rPr>
          <w:rFonts w:hint="eastAsia" w:eastAsia="仿宋_GB2312" w:cs="仿宋_GB2312"/>
          <w:sz w:val="32"/>
          <w:szCs w:val="32"/>
        </w:rPr>
        <w:t>93.37</w:t>
      </w:r>
      <w:r>
        <w:rPr>
          <w:rFonts w:eastAsia="仿宋_GB2312" w:cs="仿宋_GB2312"/>
          <w:sz w:val="32"/>
          <w:szCs w:val="32"/>
        </w:rPr>
        <w:t>%，决算数</w:t>
      </w:r>
      <w:r>
        <w:rPr>
          <w:rFonts w:hint="eastAsia" w:eastAsia="仿宋_GB2312" w:cs="仿宋_GB2312"/>
          <w:sz w:val="32"/>
          <w:szCs w:val="32"/>
        </w:rPr>
        <w:t>小</w:t>
      </w:r>
      <w:r>
        <w:rPr>
          <w:rFonts w:eastAsia="仿宋_GB2312" w:cs="仿宋_GB2312"/>
          <w:sz w:val="32"/>
          <w:szCs w:val="32"/>
        </w:rPr>
        <w:t>于预算数</w:t>
      </w:r>
      <w:r>
        <w:rPr>
          <w:rFonts w:hint="eastAsia" w:eastAsia="仿宋_GB2312" w:cs="仿宋_GB2312"/>
          <w:sz w:val="32"/>
          <w:szCs w:val="32"/>
        </w:rPr>
        <w:t>，主要原因是人员调出。</w:t>
      </w:r>
    </w:p>
    <w:bookmarkEnd w:id="67"/>
    <w:p>
      <w:pPr>
        <w:spacing w:line="600" w:lineRule="exact"/>
        <w:ind w:firstLine="640"/>
        <w:outlineLvl w:val="1"/>
        <w:rPr>
          <w:rStyle w:val="30"/>
          <w:rFonts w:ascii="Times New Roman" w:hAnsi="Times New Roman" w:eastAsia="黑体"/>
          <w:b w:val="0"/>
        </w:rPr>
      </w:pPr>
      <w:bookmarkStart w:id="68" w:name="_Toc15396608"/>
      <w:bookmarkStart w:id="69" w:name="_Toc15377214"/>
      <w:bookmarkStart w:id="70" w:name="_Toc206602909"/>
      <w:r>
        <w:rPr>
          <w:rStyle w:val="30"/>
          <w:rFonts w:hint="eastAsia" w:ascii="Times New Roman" w:hAnsi="Times New Roman" w:eastAsia="黑体"/>
        </w:rPr>
        <w:t>六、一</w:t>
      </w:r>
      <w:r>
        <w:rPr>
          <w:rStyle w:val="30"/>
          <w:rFonts w:hint="eastAsia" w:ascii="Times New Roman" w:hAnsi="Times New Roman" w:eastAsia="黑体"/>
          <w:b w:val="0"/>
        </w:rPr>
        <w:t>般公共预算财政拨款基本支出决算情况说明</w:t>
      </w:r>
      <w:bookmarkEnd w:id="68"/>
      <w:bookmarkEnd w:id="69"/>
      <w:bookmarkEnd w:id="70"/>
      <w:r>
        <w:rPr>
          <w:rStyle w:val="30"/>
          <w:rFonts w:ascii="Times New Roman" w:hAnsi="Times New Roman" w:eastAsia="黑体"/>
          <w:b w:val="0"/>
        </w:rPr>
        <w:tab/>
      </w:r>
    </w:p>
    <w:p>
      <w:pPr>
        <w:spacing w:line="600" w:lineRule="exact"/>
        <w:ind w:firstLine="640"/>
        <w:rPr>
          <w:rFonts w:eastAsia="仿宋_GB2312" w:cs="仿宋_GB2312"/>
          <w:sz w:val="32"/>
          <w:szCs w:val="32"/>
        </w:rPr>
      </w:pPr>
      <w:r>
        <w:rPr>
          <w:rFonts w:hint="eastAsia" w:eastAsia="仿宋_GB2312" w:cs="仿宋_GB2312"/>
          <w:sz w:val="32"/>
          <w:szCs w:val="32"/>
        </w:rPr>
        <w:t>2024年度一般公共预算财政拨款基本支出</w:t>
      </w:r>
      <w:r>
        <w:rPr>
          <w:rFonts w:hint="eastAsia" w:ascii="仿宋_GB2312" w:hAnsi="仿宋_GB2312" w:eastAsia="仿宋_GB2312" w:cs="仿宋_GB2312"/>
          <w:sz w:val="32"/>
          <w:szCs w:val="32"/>
        </w:rPr>
        <w:t>142.8万</w:t>
      </w:r>
      <w:r>
        <w:rPr>
          <w:rFonts w:hint="eastAsia" w:eastAsia="仿宋_GB2312" w:cs="仿宋_GB2312"/>
          <w:sz w:val="32"/>
          <w:szCs w:val="32"/>
        </w:rPr>
        <w:t>元，其中：</w:t>
      </w:r>
    </w:p>
    <w:p>
      <w:pPr>
        <w:spacing w:line="600" w:lineRule="exact"/>
        <w:ind w:firstLine="640"/>
        <w:rPr>
          <w:rFonts w:hint="eastAsia" w:eastAsia="仿宋_GB2312" w:cs="仿宋_GB2312"/>
          <w:sz w:val="32"/>
          <w:szCs w:val="32"/>
        </w:rPr>
      </w:pPr>
      <w:r>
        <w:rPr>
          <w:rFonts w:hint="eastAsia" w:eastAsia="仿宋_GB2312" w:cs="仿宋_GB2312"/>
          <w:sz w:val="32"/>
          <w:szCs w:val="32"/>
        </w:rPr>
        <w:t>人员经费124.63万元，主要包括：基本工资、津贴补贴、奖金、绩效工资、机关事业单位基本养老保险缴费、其他社会保障缴费、其他工资福利支出、医疗费补助、住房公积金、其他对个人和家庭的补助支出等。</w:t>
      </w:r>
    </w:p>
    <w:p>
      <w:pPr>
        <w:spacing w:line="600" w:lineRule="exact"/>
        <w:ind w:firstLine="640"/>
        <w:rPr>
          <w:rFonts w:eastAsia="仿宋_GB2312" w:cs="仿宋_GB2312"/>
          <w:sz w:val="32"/>
          <w:szCs w:val="32"/>
        </w:rPr>
      </w:pPr>
      <w:r>
        <w:rPr>
          <w:rFonts w:hint="eastAsia" w:eastAsia="仿宋_GB2312" w:cs="仿宋_GB2312"/>
          <w:sz w:val="32"/>
          <w:szCs w:val="32"/>
        </w:rPr>
        <w:t>公用经费18.17万元，主要包括：办公费、水费、电费、邮电费、物业管理费、差旅费、维修（护）费、劳务费、工会经费、福利费、其他交通费、其他商品和服务支出等。</w:t>
      </w:r>
    </w:p>
    <w:p>
      <w:pPr>
        <w:spacing w:line="600" w:lineRule="exact"/>
        <w:ind w:firstLine="640"/>
        <w:outlineLvl w:val="1"/>
        <w:rPr>
          <w:rStyle w:val="30"/>
          <w:rFonts w:ascii="Times New Roman" w:hAnsi="Times New Roman" w:eastAsia="黑体"/>
          <w:b w:val="0"/>
        </w:rPr>
      </w:pPr>
      <w:bookmarkStart w:id="71" w:name="_Toc206602910"/>
      <w:bookmarkStart w:id="72" w:name="_Toc15396609"/>
      <w:bookmarkStart w:id="73" w:name="_Toc15377215"/>
      <w:r>
        <w:rPr>
          <w:rFonts w:hint="eastAsia" w:eastAsia="黑体"/>
          <w:sz w:val="32"/>
          <w:szCs w:val="32"/>
        </w:rPr>
        <w:t>七、</w:t>
      </w:r>
      <w:r>
        <w:rPr>
          <w:rStyle w:val="30"/>
          <w:rFonts w:hint="eastAsia" w:ascii="Times New Roman" w:hAnsi="Times New Roman" w:eastAsia="黑体"/>
          <w:b w:val="0"/>
        </w:rPr>
        <w:t>财政拨款</w:t>
      </w:r>
      <w:r>
        <w:rPr>
          <w:rStyle w:val="30"/>
          <w:rFonts w:hint="eastAsia" w:ascii="Times New Roman" w:hAnsi="Times New Roman" w:eastAsia="黑体"/>
        </w:rPr>
        <w:t>“</w:t>
      </w:r>
      <w:r>
        <w:rPr>
          <w:rStyle w:val="30"/>
          <w:rFonts w:hint="eastAsia" w:ascii="Times New Roman" w:hAnsi="Times New Roman" w:eastAsia="黑体"/>
          <w:b w:val="0"/>
        </w:rPr>
        <w:t>三公”经费支出决算情况说明</w:t>
      </w:r>
      <w:bookmarkEnd w:id="71"/>
      <w:bookmarkEnd w:id="72"/>
      <w:bookmarkEnd w:id="73"/>
    </w:p>
    <w:p>
      <w:pPr>
        <w:spacing w:line="600" w:lineRule="exact"/>
        <w:ind w:firstLine="642" w:firstLineChars="200"/>
        <w:rPr>
          <w:rFonts w:ascii="楷体_GB2312" w:eastAsia="楷体_GB2312"/>
          <w:b/>
          <w:sz w:val="32"/>
          <w:szCs w:val="32"/>
        </w:rPr>
      </w:pPr>
      <w:bookmarkStart w:id="74" w:name="_Toc15377216"/>
      <w:r>
        <w:rPr>
          <w:rFonts w:ascii="楷体_GB2312" w:eastAsia="楷体_GB2312"/>
          <w:b/>
          <w:sz w:val="32"/>
          <w:szCs w:val="32"/>
        </w:rPr>
        <w:t>（一）“三公”经费财政拨款支出决算总体情况说明</w:t>
      </w:r>
      <w:bookmarkEnd w:id="74"/>
    </w:p>
    <w:p>
      <w:pPr>
        <w:spacing w:line="600" w:lineRule="exact"/>
        <w:ind w:firstLine="640"/>
        <w:rPr>
          <w:rFonts w:eastAsia="仿宋_GB2312"/>
          <w:b/>
          <w:bCs/>
          <w:sz w:val="32"/>
          <w:szCs w:val="32"/>
        </w:rPr>
      </w:pPr>
      <w:r>
        <w:rPr>
          <w:rFonts w:eastAsia="仿宋_GB2312"/>
          <w:sz w:val="32"/>
          <w:szCs w:val="32"/>
        </w:rPr>
        <w:t>2024年度“三公”经费财政拨款支出决算为0万元，完成预算0%。</w:t>
      </w:r>
    </w:p>
    <w:p>
      <w:pPr>
        <w:spacing w:line="600" w:lineRule="exact"/>
        <w:ind w:firstLine="642" w:firstLineChars="200"/>
        <w:rPr>
          <w:rFonts w:ascii="楷体_GB2312" w:eastAsia="楷体_GB2312"/>
          <w:b/>
          <w:sz w:val="32"/>
          <w:szCs w:val="32"/>
        </w:rPr>
      </w:pPr>
      <w:bookmarkStart w:id="75" w:name="_Toc15377217"/>
      <w:r>
        <w:rPr>
          <w:rFonts w:ascii="楷体_GB2312" w:eastAsia="楷体_GB2312"/>
          <w:b/>
          <w:sz w:val="32"/>
          <w:szCs w:val="32"/>
        </w:rPr>
        <w:t>（二）“三公”经费财政拨款支出决算具体情况说明</w:t>
      </w:r>
      <w:bookmarkEnd w:id="75"/>
    </w:p>
    <w:p>
      <w:pPr>
        <w:spacing w:line="600" w:lineRule="exact"/>
        <w:ind w:firstLine="640"/>
        <w:rPr>
          <w:rFonts w:eastAsia="仿宋"/>
          <w:sz w:val="32"/>
          <w:szCs w:val="32"/>
        </w:rPr>
      </w:pPr>
      <w:bookmarkStart w:id="76" w:name="_Toc15377218"/>
      <w:bookmarkStart w:id="77" w:name="_Toc15396610"/>
      <w:r>
        <w:rPr>
          <w:rFonts w:eastAsia="仿宋"/>
          <w:sz w:val="32"/>
          <w:szCs w:val="32"/>
        </w:rPr>
        <w:t>2024年“三公”经费财政拨款支出决算中，因公出国（境）费支出决算0万元，占0%；公务用车购置及运行维护费支出决算0万元，占0%；公务接待费支出决算0万元，占0%。具体情况如下：</w:t>
      </w:r>
    </w:p>
    <w:p>
      <w:pPr>
        <w:spacing w:line="600" w:lineRule="exact"/>
        <w:ind w:firstLine="642" w:firstLineChars="200"/>
        <w:rPr>
          <w:rFonts w:eastAsia="仿宋_GB2312"/>
          <w:sz w:val="32"/>
          <w:szCs w:val="32"/>
        </w:rPr>
      </w:pPr>
      <w:r>
        <w:rPr>
          <w:rFonts w:eastAsia="仿宋_GB2312"/>
          <w:b/>
          <w:sz w:val="32"/>
          <w:szCs w:val="32"/>
        </w:rPr>
        <w:t>1.</w:t>
      </w:r>
      <w:r>
        <w:rPr>
          <w:rFonts w:hint="eastAsia" w:eastAsia="仿宋_GB2312"/>
          <w:b/>
          <w:sz w:val="32"/>
          <w:szCs w:val="32"/>
        </w:rPr>
        <w:t xml:space="preserve"> </w:t>
      </w:r>
      <w:r>
        <w:rPr>
          <w:rFonts w:eastAsia="仿宋_GB2312"/>
          <w:b/>
          <w:sz w:val="32"/>
          <w:szCs w:val="32"/>
        </w:rPr>
        <w:t>因公出国（境）经费支出</w:t>
      </w:r>
      <w:r>
        <w:rPr>
          <w:rFonts w:eastAsia="仿宋_GB2312"/>
          <w:sz w:val="32"/>
          <w:szCs w:val="32"/>
        </w:rPr>
        <w:t>0万元，</w:t>
      </w:r>
      <w:r>
        <w:rPr>
          <w:rStyle w:val="18"/>
          <w:rFonts w:eastAsia="仿宋"/>
          <w:b w:val="0"/>
          <w:bCs/>
          <w:sz w:val="32"/>
          <w:szCs w:val="32"/>
        </w:rPr>
        <w:t>完成预算0%。</w:t>
      </w:r>
      <w:r>
        <w:rPr>
          <w:rFonts w:eastAsia="仿宋_GB2312"/>
          <w:sz w:val="32"/>
          <w:szCs w:val="32"/>
        </w:rPr>
        <w:t>全年安排因公出国（境）团组0次，出国（境）0人。因公出国（境）支出决算与2023年相等，均未发生。</w:t>
      </w:r>
    </w:p>
    <w:p>
      <w:pPr>
        <w:spacing w:line="600" w:lineRule="exact"/>
        <w:ind w:firstLine="640"/>
        <w:rPr>
          <w:rFonts w:eastAsia="仿宋_GB2312"/>
          <w:b/>
          <w:sz w:val="32"/>
          <w:szCs w:val="32"/>
        </w:rPr>
      </w:pPr>
      <w:r>
        <w:rPr>
          <w:rFonts w:eastAsia="仿宋_GB2312"/>
          <w:b/>
          <w:sz w:val="32"/>
          <w:szCs w:val="32"/>
        </w:rPr>
        <w:t>2.</w:t>
      </w:r>
      <w:r>
        <w:rPr>
          <w:rFonts w:hint="eastAsia" w:eastAsia="仿宋_GB2312"/>
          <w:b/>
          <w:sz w:val="32"/>
          <w:szCs w:val="32"/>
        </w:rPr>
        <w:t xml:space="preserve"> </w:t>
      </w:r>
      <w:r>
        <w:rPr>
          <w:rFonts w:eastAsia="仿宋_GB2312"/>
          <w:b/>
          <w:sz w:val="32"/>
          <w:szCs w:val="32"/>
        </w:rPr>
        <w:t>公务用车购置及运行维护费支出</w:t>
      </w:r>
      <w:r>
        <w:rPr>
          <w:rFonts w:eastAsia="仿宋_GB2312"/>
          <w:sz w:val="32"/>
          <w:szCs w:val="32"/>
        </w:rPr>
        <w:t>0万元,</w:t>
      </w:r>
      <w:r>
        <w:rPr>
          <w:rStyle w:val="18"/>
          <w:rFonts w:eastAsia="仿宋"/>
          <w:b w:val="0"/>
          <w:bCs/>
          <w:sz w:val="32"/>
          <w:szCs w:val="32"/>
        </w:rPr>
        <w:t>完成预算0%。</w:t>
      </w:r>
      <w:r>
        <w:rPr>
          <w:rFonts w:eastAsia="仿宋_GB2312"/>
          <w:sz w:val="32"/>
          <w:szCs w:val="32"/>
        </w:rPr>
        <w:t>公务用车购置及运行维护费支出决算比2023年增加0万元，增长0%。主要原因是无公车购买及维护。</w:t>
      </w:r>
    </w:p>
    <w:p>
      <w:pPr>
        <w:spacing w:line="600" w:lineRule="exact"/>
        <w:ind w:firstLine="640" w:firstLineChars="200"/>
        <w:rPr>
          <w:rFonts w:eastAsia="仿宋_GB2312"/>
          <w:b/>
          <w:sz w:val="32"/>
          <w:szCs w:val="32"/>
        </w:rPr>
      </w:pPr>
      <w:r>
        <w:rPr>
          <w:rFonts w:eastAsia="仿宋_GB2312"/>
          <w:sz w:val="32"/>
          <w:szCs w:val="32"/>
        </w:rPr>
        <w:t>其中：</w:t>
      </w:r>
      <w:r>
        <w:rPr>
          <w:rFonts w:eastAsia="仿宋_GB2312"/>
          <w:b/>
          <w:sz w:val="32"/>
          <w:szCs w:val="32"/>
        </w:rPr>
        <w:t>公务用车购置支出0</w:t>
      </w:r>
      <w:r>
        <w:rPr>
          <w:rFonts w:eastAsia="仿宋_GB2312"/>
          <w:sz w:val="32"/>
          <w:szCs w:val="32"/>
        </w:rPr>
        <w:t>万元。全年按规定更新购置公务用车0辆，其中：轿车0辆、金额0万元，越野车0辆、金额0万元，载客汽车0辆、金额0万元。截至2024年12月底，单位共有公务用车0辆，其中：轿车0辆、越野车0辆、载客汽车0辆。</w:t>
      </w:r>
    </w:p>
    <w:p>
      <w:pPr>
        <w:spacing w:line="600" w:lineRule="exact"/>
        <w:ind w:firstLine="640"/>
        <w:rPr>
          <w:rFonts w:eastAsia="仿宋_GB2312"/>
          <w:sz w:val="32"/>
          <w:szCs w:val="32"/>
        </w:rPr>
      </w:pPr>
      <w:r>
        <w:rPr>
          <w:rFonts w:eastAsia="仿宋_GB2312"/>
          <w:b/>
          <w:sz w:val="32"/>
          <w:szCs w:val="32"/>
        </w:rPr>
        <w:t>公务用车运行维护费支出</w:t>
      </w:r>
      <w:r>
        <w:rPr>
          <w:rFonts w:eastAsia="仿宋_GB2312"/>
          <w:sz w:val="32"/>
          <w:szCs w:val="32"/>
        </w:rPr>
        <w:t>0万元。</w:t>
      </w:r>
    </w:p>
    <w:p>
      <w:pPr>
        <w:spacing w:line="600" w:lineRule="exact"/>
        <w:ind w:firstLine="640"/>
        <w:rPr>
          <w:rFonts w:eastAsia="仿宋_GB2312"/>
          <w:sz w:val="32"/>
          <w:szCs w:val="32"/>
        </w:rPr>
      </w:pPr>
      <w:r>
        <w:rPr>
          <w:rFonts w:eastAsia="仿宋_GB2312"/>
          <w:b/>
          <w:sz w:val="32"/>
          <w:szCs w:val="32"/>
        </w:rPr>
        <w:t>3.</w:t>
      </w:r>
      <w:r>
        <w:rPr>
          <w:rFonts w:hint="eastAsia" w:eastAsia="仿宋_GB2312"/>
          <w:b/>
          <w:sz w:val="32"/>
          <w:szCs w:val="32"/>
        </w:rPr>
        <w:t xml:space="preserve"> </w:t>
      </w:r>
      <w:r>
        <w:rPr>
          <w:rFonts w:eastAsia="仿宋_GB2312"/>
          <w:b/>
          <w:sz w:val="32"/>
          <w:szCs w:val="32"/>
        </w:rPr>
        <w:t>公务接待费支出0</w:t>
      </w:r>
      <w:r>
        <w:rPr>
          <w:rFonts w:eastAsia="仿宋_GB2312"/>
          <w:sz w:val="32"/>
          <w:szCs w:val="32"/>
        </w:rPr>
        <w:t>万元，</w:t>
      </w:r>
      <w:r>
        <w:rPr>
          <w:rStyle w:val="18"/>
          <w:rFonts w:eastAsia="仿宋"/>
          <w:b w:val="0"/>
          <w:bCs/>
          <w:sz w:val="32"/>
          <w:szCs w:val="32"/>
        </w:rPr>
        <w:t>完成预算0%。</w:t>
      </w:r>
      <w:r>
        <w:rPr>
          <w:rFonts w:eastAsia="仿宋_GB2312"/>
          <w:sz w:val="32"/>
          <w:szCs w:val="32"/>
        </w:rPr>
        <w:t>公务接待费支出决算比2021年增加0万元，增长0%。主要原因是为发生公务接待费。其中：</w:t>
      </w:r>
    </w:p>
    <w:p>
      <w:pPr>
        <w:spacing w:line="600" w:lineRule="exact"/>
        <w:ind w:firstLine="640"/>
        <w:rPr>
          <w:rFonts w:eastAsia="仿宋_GB2312"/>
          <w:sz w:val="32"/>
          <w:szCs w:val="32"/>
        </w:rPr>
      </w:pPr>
      <w:r>
        <w:rPr>
          <w:rFonts w:eastAsia="仿宋"/>
          <w:b/>
          <w:sz w:val="32"/>
          <w:szCs w:val="32"/>
        </w:rPr>
        <w:t>国内公务接待支出</w:t>
      </w:r>
      <w:r>
        <w:rPr>
          <w:rFonts w:eastAsia="仿宋"/>
          <w:sz w:val="32"/>
          <w:szCs w:val="32"/>
        </w:rPr>
        <w:t>0</w:t>
      </w:r>
      <w:r>
        <w:rPr>
          <w:rFonts w:eastAsia="仿宋_GB2312"/>
          <w:sz w:val="32"/>
          <w:szCs w:val="32"/>
        </w:rPr>
        <w:t>万元，。国内公务接待0批次，0人次（不包括陪同人员），共计支出0万元，</w:t>
      </w:r>
    </w:p>
    <w:p>
      <w:pPr>
        <w:spacing w:line="600" w:lineRule="exact"/>
        <w:ind w:firstLine="642" w:firstLineChars="200"/>
        <w:rPr>
          <w:rFonts w:eastAsia="仿宋_GB2312"/>
          <w:sz w:val="32"/>
          <w:szCs w:val="32"/>
        </w:rPr>
      </w:pPr>
      <w:r>
        <w:rPr>
          <w:rFonts w:eastAsia="仿宋"/>
          <w:b/>
          <w:sz w:val="32"/>
          <w:szCs w:val="32"/>
        </w:rPr>
        <w:t>外事接待支出</w:t>
      </w:r>
      <w:r>
        <w:rPr>
          <w:rFonts w:eastAsia="仿宋"/>
          <w:sz w:val="32"/>
          <w:szCs w:val="32"/>
        </w:rPr>
        <w:t>0</w:t>
      </w:r>
      <w:r>
        <w:rPr>
          <w:rFonts w:eastAsia="仿宋_GB2312"/>
          <w:sz w:val="32"/>
          <w:szCs w:val="32"/>
        </w:rPr>
        <w:t>万元。外事接待0批次，0人次（不包括陪同人员），共计支出0万元。</w:t>
      </w:r>
    </w:p>
    <w:bookmarkEnd w:id="76"/>
    <w:bookmarkEnd w:id="77"/>
    <w:p>
      <w:pPr>
        <w:pStyle w:val="4"/>
        <w:spacing w:before="0" w:after="0" w:line="240" w:lineRule="auto"/>
        <w:ind w:firstLine="640" w:firstLineChars="200"/>
        <w:rPr>
          <w:rStyle w:val="30"/>
          <w:rFonts w:ascii="Times New Roman" w:hAnsi="Times New Roman" w:eastAsia="黑体" w:cs="Times New Roman"/>
          <w:b w:val="0"/>
          <w:bCs w:val="0"/>
        </w:rPr>
      </w:pPr>
      <w:bookmarkStart w:id="78" w:name="_Toc31483"/>
      <w:bookmarkStart w:id="79" w:name="_Toc206602911"/>
      <w:bookmarkStart w:id="80" w:name="_Toc15396612"/>
      <w:bookmarkStart w:id="81" w:name="_Toc15377221"/>
      <w:r>
        <w:rPr>
          <w:rStyle w:val="30"/>
          <w:rFonts w:ascii="Times New Roman" w:hAnsi="Times New Roman" w:eastAsia="黑体" w:cs="Times New Roman"/>
          <w:b w:val="0"/>
          <w:bCs w:val="0"/>
        </w:rPr>
        <w:t>八、政府性基金预算支出决算情况说明</w:t>
      </w:r>
      <w:bookmarkEnd w:id="78"/>
      <w:bookmarkEnd w:id="79"/>
    </w:p>
    <w:p>
      <w:pPr>
        <w:spacing w:line="600" w:lineRule="exact"/>
        <w:ind w:firstLine="640"/>
        <w:rPr>
          <w:rFonts w:eastAsia="仿宋_GB2312"/>
          <w:sz w:val="32"/>
          <w:szCs w:val="32"/>
        </w:rPr>
      </w:pPr>
      <w:bookmarkStart w:id="82" w:name="_Toc9469"/>
      <w:bookmarkStart w:id="83" w:name="_Toc28851"/>
      <w:bookmarkStart w:id="84" w:name="_Toc22000"/>
      <w:bookmarkStart w:id="85" w:name="_Toc15396611"/>
      <w:bookmarkStart w:id="86" w:name="_Toc15377219"/>
      <w:r>
        <w:rPr>
          <w:rFonts w:eastAsia="仿宋_GB2312"/>
          <w:sz w:val="32"/>
          <w:szCs w:val="32"/>
        </w:rPr>
        <w:t>2024年政府性基金预算财政拨款支出0万元。</w:t>
      </w:r>
      <w:bookmarkEnd w:id="82"/>
      <w:bookmarkEnd w:id="83"/>
      <w:bookmarkEnd w:id="84"/>
    </w:p>
    <w:p>
      <w:pPr>
        <w:pStyle w:val="4"/>
        <w:spacing w:before="0" w:after="0" w:line="240" w:lineRule="auto"/>
        <w:ind w:firstLine="640" w:firstLineChars="200"/>
        <w:rPr>
          <w:rStyle w:val="30"/>
          <w:rFonts w:ascii="Times New Roman" w:hAnsi="Times New Roman" w:eastAsia="黑体" w:cs="Times New Roman"/>
          <w:b w:val="0"/>
          <w:bCs w:val="0"/>
        </w:rPr>
      </w:pPr>
      <w:bookmarkStart w:id="87" w:name="_Toc29217"/>
      <w:bookmarkStart w:id="88" w:name="_Toc206602912"/>
      <w:r>
        <w:rPr>
          <w:rStyle w:val="30"/>
          <w:rFonts w:ascii="Times New Roman" w:hAnsi="Times New Roman" w:eastAsia="黑体" w:cs="Times New Roman"/>
          <w:b w:val="0"/>
          <w:bCs w:val="0"/>
        </w:rPr>
        <w:t>九、国有资本经营预算支出决算情况说明</w:t>
      </w:r>
      <w:bookmarkEnd w:id="85"/>
      <w:bookmarkEnd w:id="86"/>
      <w:bookmarkEnd w:id="87"/>
      <w:bookmarkEnd w:id="88"/>
    </w:p>
    <w:p>
      <w:pPr>
        <w:spacing w:line="600" w:lineRule="exact"/>
        <w:ind w:firstLine="640"/>
        <w:rPr>
          <w:rFonts w:eastAsia="仿宋_GB2312"/>
          <w:sz w:val="32"/>
          <w:szCs w:val="32"/>
        </w:rPr>
      </w:pPr>
      <w:bookmarkStart w:id="89" w:name="_Toc6734"/>
      <w:bookmarkStart w:id="90" w:name="_Toc32190"/>
      <w:bookmarkStart w:id="91" w:name="_Toc22631"/>
      <w:r>
        <w:rPr>
          <w:rFonts w:eastAsia="仿宋_GB2312"/>
          <w:sz w:val="32"/>
          <w:szCs w:val="32"/>
        </w:rPr>
        <w:t>2024年国有资本经营预算财政拨款支出0万元。</w:t>
      </w:r>
      <w:bookmarkEnd w:id="89"/>
      <w:bookmarkEnd w:id="90"/>
      <w:bookmarkEnd w:id="91"/>
    </w:p>
    <w:p>
      <w:pPr>
        <w:pStyle w:val="4"/>
        <w:spacing w:before="0" w:after="0" w:line="240" w:lineRule="auto"/>
        <w:ind w:firstLine="640" w:firstLineChars="200"/>
        <w:rPr>
          <w:rStyle w:val="30"/>
          <w:rFonts w:ascii="Times New Roman" w:hAnsi="Times New Roman" w:eastAsia="黑体" w:cs="Times New Roman"/>
          <w:b w:val="0"/>
          <w:bCs w:val="0"/>
        </w:rPr>
      </w:pPr>
      <w:bookmarkStart w:id="92" w:name="_Toc206602913"/>
      <w:r>
        <w:rPr>
          <w:rStyle w:val="30"/>
          <w:rFonts w:ascii="Times New Roman" w:hAnsi="Times New Roman" w:eastAsia="黑体" w:cs="Times New Roman"/>
          <w:b w:val="0"/>
          <w:bCs w:val="0"/>
        </w:rPr>
        <w:t>十、其他重要事项的情况说明</w:t>
      </w:r>
      <w:bookmarkEnd w:id="80"/>
      <w:bookmarkEnd w:id="81"/>
      <w:bookmarkEnd w:id="92"/>
    </w:p>
    <w:p>
      <w:pPr>
        <w:spacing w:line="600" w:lineRule="exact"/>
        <w:ind w:firstLine="642" w:firstLineChars="200"/>
        <w:rPr>
          <w:rFonts w:ascii="楷体_GB2312" w:eastAsia="楷体_GB2312"/>
          <w:b/>
          <w:sz w:val="32"/>
          <w:szCs w:val="32"/>
        </w:rPr>
      </w:pPr>
      <w:bookmarkStart w:id="93" w:name="_Toc15377222"/>
      <w:r>
        <w:rPr>
          <w:rFonts w:ascii="楷体_GB2312" w:eastAsia="楷体_GB2312"/>
          <w:b/>
          <w:sz w:val="32"/>
          <w:szCs w:val="32"/>
        </w:rPr>
        <w:t>（一）机关运行经费支出情况</w:t>
      </w:r>
      <w:bookmarkEnd w:id="93"/>
    </w:p>
    <w:p>
      <w:pPr>
        <w:spacing w:line="600" w:lineRule="exact"/>
        <w:ind w:firstLine="640"/>
        <w:rPr>
          <w:rFonts w:eastAsia="仿宋_GB2312"/>
          <w:sz w:val="32"/>
          <w:szCs w:val="32"/>
        </w:rPr>
      </w:pPr>
      <w:r>
        <w:rPr>
          <w:rFonts w:eastAsia="仿宋_GB2312"/>
          <w:sz w:val="32"/>
          <w:szCs w:val="32"/>
        </w:rPr>
        <w:t>2024年度，四川省遂宁市票据监管中心机关运行经费支出18.17万元，比2023年度减少0.37万元，下降2%。主要原因是差旅费减少。</w:t>
      </w:r>
    </w:p>
    <w:p>
      <w:pPr>
        <w:spacing w:line="600" w:lineRule="exact"/>
        <w:ind w:firstLine="642" w:firstLineChars="200"/>
        <w:rPr>
          <w:rFonts w:ascii="楷体_GB2312" w:eastAsia="楷体_GB2312"/>
          <w:b/>
          <w:sz w:val="32"/>
          <w:szCs w:val="32"/>
        </w:rPr>
      </w:pPr>
      <w:bookmarkStart w:id="94" w:name="_Toc15377223"/>
      <w:r>
        <w:rPr>
          <w:rFonts w:ascii="楷体_GB2312" w:eastAsia="楷体_GB2312"/>
          <w:b/>
          <w:sz w:val="32"/>
          <w:szCs w:val="32"/>
        </w:rPr>
        <w:t>（二）政府采购支出情况</w:t>
      </w:r>
      <w:bookmarkEnd w:id="94"/>
    </w:p>
    <w:p>
      <w:pPr>
        <w:spacing w:line="600" w:lineRule="exact"/>
        <w:ind w:firstLine="640" w:firstLineChars="200"/>
        <w:rPr>
          <w:rFonts w:eastAsia="仿宋_GB2312"/>
          <w:sz w:val="32"/>
          <w:szCs w:val="32"/>
        </w:rPr>
      </w:pPr>
      <w:r>
        <w:rPr>
          <w:rFonts w:eastAsia="仿宋_GB2312"/>
          <w:sz w:val="32"/>
          <w:szCs w:val="32"/>
        </w:rPr>
        <w:t>2024年度，票管中心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pPr>
        <w:spacing w:line="600" w:lineRule="exact"/>
        <w:ind w:firstLine="642" w:firstLineChars="200"/>
        <w:rPr>
          <w:rFonts w:ascii="楷体_GB2312" w:eastAsia="楷体_GB2312"/>
          <w:b/>
          <w:sz w:val="32"/>
          <w:szCs w:val="32"/>
        </w:rPr>
      </w:pPr>
      <w:bookmarkStart w:id="95" w:name="_Toc15377224"/>
      <w:r>
        <w:rPr>
          <w:rFonts w:ascii="楷体_GB2312" w:eastAsia="楷体_GB2312"/>
          <w:b/>
          <w:sz w:val="32"/>
          <w:szCs w:val="32"/>
        </w:rPr>
        <w:t>（三）国有资产占有使用情况</w:t>
      </w:r>
      <w:bookmarkEnd w:id="95"/>
    </w:p>
    <w:p>
      <w:pPr>
        <w:spacing w:line="600" w:lineRule="exact"/>
        <w:ind w:firstLine="640"/>
        <w:rPr>
          <w:rFonts w:eastAsia="仿宋_GB2312"/>
          <w:sz w:val="32"/>
          <w:szCs w:val="32"/>
        </w:rPr>
      </w:pPr>
      <w:r>
        <w:rPr>
          <w:rFonts w:eastAsia="仿宋_GB2312"/>
          <w:sz w:val="32"/>
          <w:szCs w:val="32"/>
        </w:rPr>
        <w:t>截至2024年12月31日，四川省遂宁市票据监管中心共有车辆0辆，其中：主要负责人用车0辆、机要通信用车0辆、应急保障用车0辆、其他用车0辆，单价100万元（含）以上设备（不含车辆）0台（套）。</w:t>
      </w:r>
    </w:p>
    <w:p>
      <w:pPr>
        <w:spacing w:line="600" w:lineRule="exact"/>
        <w:ind w:firstLine="642" w:firstLineChars="200"/>
        <w:rPr>
          <w:rFonts w:ascii="楷体_GB2312" w:eastAsia="楷体_GB2312"/>
          <w:b/>
          <w:sz w:val="32"/>
          <w:szCs w:val="32"/>
        </w:rPr>
      </w:pPr>
      <w:r>
        <w:rPr>
          <w:rFonts w:ascii="楷体_GB2312" w:eastAsia="楷体_GB2312"/>
          <w:b/>
          <w:sz w:val="32"/>
          <w:szCs w:val="32"/>
        </w:rPr>
        <w:t>（四）预算绩效管理情况</w:t>
      </w:r>
    </w:p>
    <w:p>
      <w:pPr>
        <w:spacing w:line="600" w:lineRule="exact"/>
        <w:ind w:firstLine="640"/>
        <w:rPr>
          <w:rFonts w:eastAsia="仿宋_GB2312"/>
          <w:sz w:val="32"/>
          <w:szCs w:val="32"/>
        </w:rPr>
      </w:pPr>
      <w:r>
        <w:rPr>
          <w:rFonts w:eastAsia="仿宋_GB2312"/>
          <w:sz w:val="32"/>
          <w:szCs w:val="32"/>
        </w:rPr>
        <w:t xml:space="preserve">根据预算绩效管理要求，本单位在2024年度预算编制阶段，对2个项目编制了绩效目标，预算执行过程中，选取绩效监控时段已下达2个项目开展绩效监控，年末组织对2个项目开展绩效自评，绩效自评表详见第四部分附件。 </w:t>
      </w:r>
    </w:p>
    <w:p>
      <w:pPr>
        <w:widowControl/>
        <w:jc w:val="left"/>
        <w:rPr>
          <w:rFonts w:eastAsia="仿宋_GB2312" w:cs="仿宋_GB2312"/>
          <w:sz w:val="32"/>
          <w:szCs w:val="32"/>
        </w:rPr>
      </w:pPr>
      <w:r>
        <w:rPr>
          <w:rFonts w:eastAsia="仿宋_GB2312" w:cs="仿宋_GB2312"/>
          <w:sz w:val="32"/>
          <w:szCs w:val="32"/>
        </w:rPr>
        <w:br w:type="page"/>
      </w:r>
    </w:p>
    <w:p>
      <w:pPr>
        <w:pStyle w:val="3"/>
        <w:ind w:firstLine="440" w:firstLineChars="100"/>
        <w:jc w:val="center"/>
        <w:rPr>
          <w:rFonts w:eastAsia="方正小标宋简体" w:cs="方正小标宋简体"/>
          <w:b w:val="0"/>
        </w:rPr>
      </w:pPr>
      <w:bookmarkStart w:id="96" w:name="_Toc206602914"/>
      <w:bookmarkStart w:id="97" w:name="_Toc15396613"/>
      <w:bookmarkStart w:id="98" w:name="_Toc15377225"/>
      <w:r>
        <w:rPr>
          <w:rFonts w:hint="eastAsia" w:eastAsia="方正小标宋简体" w:cs="方正小标宋简体"/>
          <w:b w:val="0"/>
        </w:rPr>
        <w:t>第三部分  名词解释</w:t>
      </w:r>
      <w:bookmarkEnd w:id="96"/>
      <w:bookmarkEnd w:id="97"/>
      <w:bookmarkEnd w:id="98"/>
    </w:p>
    <w:p>
      <w:pPr>
        <w:spacing w:line="600" w:lineRule="exact"/>
        <w:jc w:val="left"/>
        <w:rPr>
          <w:b/>
          <w:sz w:val="44"/>
          <w:szCs w:val="44"/>
        </w:rPr>
      </w:pPr>
    </w:p>
    <w:p>
      <w:pPr>
        <w:pStyle w:val="27"/>
        <w:spacing w:line="560" w:lineRule="exact"/>
        <w:ind w:firstLine="640" w:firstLineChars="200"/>
        <w:rPr>
          <w:rFonts w:ascii="Times New Roman" w:hAnsi="Times New Roman" w:eastAsia="仿宋_GB2312" w:cs="Times New Roman"/>
          <w:color w:val="auto"/>
          <w:sz w:val="32"/>
          <w:szCs w:val="32"/>
        </w:rPr>
      </w:pPr>
      <w:bookmarkStart w:id="99" w:name="OLE_LINK2"/>
      <w:bookmarkStart w:id="100" w:name="_Toc15396614"/>
      <w:bookmarkStart w:id="101" w:name="_Toc15377226"/>
      <w:r>
        <w:rPr>
          <w:rFonts w:ascii="Times New Roman" w:hAnsi="Times New Roman" w:eastAsia="仿宋_GB2312" w:cs="Times New Roman"/>
          <w:color w:val="auto"/>
          <w:sz w:val="32"/>
          <w:szCs w:val="32"/>
        </w:rPr>
        <w:t>1.财政拨款收入：指单位从同级财政部门取得的财政预算资金。</w:t>
      </w:r>
    </w:p>
    <w:p>
      <w:pPr>
        <w:pStyle w:val="27"/>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2.事业收入：指事业单位开展专业业务活动及辅助活动取得的收入。</w:t>
      </w:r>
    </w:p>
    <w:p>
      <w:pPr>
        <w:pStyle w:val="27"/>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3.经营收入：指事业单位在专业业务活动及其辅助活动之外开展非独立核算经营活动取得的收入。</w:t>
      </w:r>
    </w:p>
    <w:p>
      <w:pPr>
        <w:pStyle w:val="27"/>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4.其他收入：指单位取得的除上述收入以外的各项收入。</w:t>
      </w:r>
    </w:p>
    <w:p>
      <w:pPr>
        <w:pStyle w:val="27"/>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xml:space="preserve">5.使用非财政拨款结余：指事业单位使用以前年度积累的非财政拨款结余弥补当年收支差额的金额。 </w:t>
      </w:r>
    </w:p>
    <w:p>
      <w:pPr>
        <w:pStyle w:val="27"/>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xml:space="preserve">6.年初结转和结余：指以前年度尚未完成、结转到本年按有关规定继续使用的资金。 </w:t>
      </w:r>
    </w:p>
    <w:p>
      <w:pPr>
        <w:pStyle w:val="27"/>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7.结余分配：指事业单位按照会计制度规定缴纳的所得税、提取的专用结余以及转入非财政拨款结余的金额等。</w:t>
      </w:r>
    </w:p>
    <w:p>
      <w:pPr>
        <w:pStyle w:val="27"/>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8.年末结转和结余：指单位按有关规定结转到下年或以后年度继续使用的资金。</w:t>
      </w:r>
    </w:p>
    <w:p>
      <w:pPr>
        <w:pStyle w:val="27"/>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9.一般公共服务支出（类）财政事务（款）行政运行（项）: 指财政事务方面，行政单位（包括实行公务员管理的事业单位）的基本支出。</w:t>
      </w:r>
    </w:p>
    <w:p>
      <w:pPr>
        <w:pStyle w:val="27"/>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10.一般公共服务支出（类）财政事务（款）一般行政管理事务（项）:指财政事务方面，行政单位（包括实行公务员管理的事业单位）未单独设置项级科目的其他项目支出。</w:t>
      </w:r>
    </w:p>
    <w:p>
      <w:pPr>
        <w:pStyle w:val="27"/>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11.一般公共服务支出（类）财政事务（款）财政监察（项）: 指财政监察派出机构的专项业务支出。</w:t>
      </w:r>
    </w:p>
    <w:p>
      <w:pPr>
        <w:pStyle w:val="27"/>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xml:space="preserve">12.一般公共服务支出（类）财政事务（款）信息化建设（项）:指财政部门用于信息化建设方面的支出。 </w:t>
      </w:r>
    </w:p>
    <w:p>
      <w:pPr>
        <w:pStyle w:val="27"/>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13.一般公共服务支出（类）财政事务（款）财政委托业务支出（项）: 指财政委托评审机构进行财政投资评审和委托建设银行等机构代理业务发生的支出。</w:t>
      </w:r>
    </w:p>
    <w:p>
      <w:pPr>
        <w:pStyle w:val="27"/>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14.一般公共服务支出（类）财政事务（款）其他财政事务支出（项）: 指其他财政事务方面的支出。</w:t>
      </w:r>
    </w:p>
    <w:p>
      <w:pPr>
        <w:pStyle w:val="27"/>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15.社会保障和就业支出（类）行政事业单位养老支出（款）行政单位离退休（项）: 指行政单位（包括实行公务员管理的事业单位）开支的离退休经费。</w:t>
      </w:r>
    </w:p>
    <w:p>
      <w:pPr>
        <w:pStyle w:val="27"/>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16.社会保障和就业支出（类）行政事业单位养老支出（款）机关事业单位基本养老保险缴费支出（项）:指机关事业单位实施养老保险制度由单位缴纳的基本养老保险缴费支出。</w:t>
      </w:r>
    </w:p>
    <w:p>
      <w:pPr>
        <w:pStyle w:val="27"/>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17.社会保障和就业支出（类）抚恤（款）死</w:t>
      </w:r>
      <w:r>
        <w:rPr>
          <w:rFonts w:hint="eastAsia" w:ascii="Times New Roman" w:hAnsi="Times New Roman" w:eastAsia="仿宋_GB2312" w:cs="Times New Roman"/>
          <w:color w:val="auto"/>
          <w:sz w:val="32"/>
          <w:szCs w:val="32"/>
          <w:lang w:eastAsia="zh-CN"/>
        </w:rPr>
        <w:t>亡</w:t>
      </w:r>
      <w:bookmarkStart w:id="131" w:name="_GoBack"/>
      <w:bookmarkEnd w:id="131"/>
      <w:r>
        <w:rPr>
          <w:rFonts w:ascii="Times New Roman" w:hAnsi="Times New Roman" w:eastAsia="仿宋_GB2312" w:cs="Times New Roman"/>
          <w:color w:val="auto"/>
          <w:sz w:val="32"/>
          <w:szCs w:val="32"/>
        </w:rPr>
        <w:t>抚恤（项）: 指</w:t>
      </w:r>
      <w:r>
        <w:rPr>
          <w:rFonts w:ascii="Times New Roman" w:hAnsi="Times New Roman" w:eastAsia="仿宋_GB2312" w:cs="Times New Roman"/>
          <w:color w:val="auto"/>
          <w:sz w:val="32"/>
          <w:szCs w:val="32"/>
        </w:rPr>
        <w:tab/>
      </w:r>
      <w:r>
        <w:rPr>
          <w:rFonts w:ascii="Times New Roman" w:hAnsi="Times New Roman" w:eastAsia="仿宋_GB2312" w:cs="Times New Roman"/>
          <w:color w:val="auto"/>
          <w:sz w:val="32"/>
          <w:szCs w:val="32"/>
        </w:rPr>
        <w:t>按规定用于烈士和牺牲、病故人员家属的一次性和定期抚恤金以及丧葬补助。</w:t>
      </w:r>
    </w:p>
    <w:p>
      <w:pPr>
        <w:pStyle w:val="27"/>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18.卫生健康支出（类）行政事业单位医疗（款）行政单位医疗（项）: 指财政部门安排的行政单位（包括实行公务员管理的事业单位）基本医疗保险缴费经费，未参加医疗保险的行政单位的公费医疗经费，按国家规定享受的离休人员、红军老战士待遇人员的医疗经费。</w:t>
      </w:r>
    </w:p>
    <w:p>
      <w:pPr>
        <w:pStyle w:val="27"/>
        <w:spacing w:line="56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19</w:t>
      </w:r>
      <w:r>
        <w:rPr>
          <w:rFonts w:ascii="Times New Roman" w:hAnsi="Times New Roman" w:eastAsia="仿宋_GB2312" w:cs="Times New Roman"/>
          <w:color w:val="auto"/>
          <w:sz w:val="32"/>
          <w:szCs w:val="32"/>
        </w:rPr>
        <w:t>.住房保障支出（类）住房改革支出（款）住房公积金（项）: 指行政事业单位按人力资源和社会保障部、财政部规定的基本工资和津贴补贴以及规定比例为职工缴纳的住房公积金。</w:t>
      </w:r>
    </w:p>
    <w:p>
      <w:pPr>
        <w:ind w:firstLine="640" w:firstLineChars="200"/>
        <w:rPr>
          <w:rFonts w:eastAsia="仿宋_GB2312"/>
          <w:sz w:val="32"/>
          <w:szCs w:val="32"/>
        </w:rPr>
      </w:pPr>
      <w:r>
        <w:rPr>
          <w:rFonts w:eastAsia="仿宋_GB2312"/>
          <w:sz w:val="32"/>
          <w:szCs w:val="32"/>
        </w:rPr>
        <w:t>2</w:t>
      </w:r>
      <w:r>
        <w:rPr>
          <w:rFonts w:hint="eastAsia" w:eastAsia="仿宋_GB2312"/>
          <w:sz w:val="32"/>
          <w:szCs w:val="32"/>
        </w:rPr>
        <w:t>0</w:t>
      </w:r>
      <w:r>
        <w:rPr>
          <w:rFonts w:eastAsia="仿宋_GB2312"/>
          <w:sz w:val="32"/>
          <w:szCs w:val="32"/>
        </w:rPr>
        <w:t>.基本支出：指为保障机构正常运转、完成日常工作任务而发生的人员支出和公用支出。</w:t>
      </w:r>
    </w:p>
    <w:p>
      <w:pPr>
        <w:ind w:firstLine="640" w:firstLineChars="200"/>
        <w:rPr>
          <w:rFonts w:eastAsia="仿宋_GB2312"/>
          <w:sz w:val="32"/>
          <w:szCs w:val="32"/>
        </w:rPr>
      </w:pPr>
      <w:r>
        <w:rPr>
          <w:rFonts w:eastAsia="仿宋_GB2312"/>
          <w:sz w:val="32"/>
          <w:szCs w:val="32"/>
        </w:rPr>
        <w:t>2</w:t>
      </w:r>
      <w:r>
        <w:rPr>
          <w:rFonts w:hint="eastAsia" w:eastAsia="仿宋_GB2312"/>
          <w:sz w:val="32"/>
          <w:szCs w:val="32"/>
        </w:rPr>
        <w:t>1</w:t>
      </w:r>
      <w:r>
        <w:rPr>
          <w:rFonts w:eastAsia="仿宋_GB2312"/>
          <w:sz w:val="32"/>
          <w:szCs w:val="32"/>
        </w:rPr>
        <w:t xml:space="preserve">.项目支出：指在基本支出之外为完成特定行政任务和事业发展目标所发生的支出。 </w:t>
      </w:r>
    </w:p>
    <w:p>
      <w:pPr>
        <w:ind w:firstLine="640" w:firstLineChars="200"/>
        <w:rPr>
          <w:rFonts w:eastAsia="仿宋_GB2312"/>
          <w:sz w:val="32"/>
          <w:szCs w:val="32"/>
        </w:rPr>
      </w:pPr>
      <w:r>
        <w:rPr>
          <w:rFonts w:eastAsia="仿宋_GB2312"/>
          <w:sz w:val="32"/>
          <w:szCs w:val="32"/>
        </w:rPr>
        <w:t>2</w:t>
      </w:r>
      <w:r>
        <w:rPr>
          <w:rFonts w:hint="eastAsia" w:eastAsia="仿宋_GB2312"/>
          <w:sz w:val="32"/>
          <w:szCs w:val="32"/>
        </w:rPr>
        <w:t>2</w:t>
      </w:r>
      <w:r>
        <w:rPr>
          <w:rFonts w:eastAsia="仿宋_GB2312"/>
          <w:sz w:val="32"/>
          <w:szCs w:val="32"/>
        </w:rPr>
        <w:t>.经营支出：指事业单位在专业业务活动及其辅助活动之外开展非独立核算经营活动发生的支出。</w:t>
      </w:r>
    </w:p>
    <w:p>
      <w:pPr>
        <w:pStyle w:val="27"/>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w:t>
      </w:r>
      <w:r>
        <w:rPr>
          <w:rFonts w:hint="eastAsia" w:ascii="Times New Roman" w:hAnsi="Times New Roman" w:eastAsia="仿宋_GB2312" w:cs="Times New Roman"/>
          <w:color w:val="auto"/>
          <w:sz w:val="32"/>
          <w:szCs w:val="32"/>
        </w:rPr>
        <w:t>3</w:t>
      </w:r>
      <w:r>
        <w:rPr>
          <w:rFonts w:ascii="Times New Roman" w:hAnsi="Times New Roman" w:eastAsia="仿宋_GB2312" w:cs="Times New Roman"/>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ind w:firstLine="640" w:firstLineChars="200"/>
        <w:rPr>
          <w:rFonts w:eastAsia="仿宋_GB2312"/>
          <w:b/>
          <w:sz w:val="32"/>
          <w:szCs w:val="32"/>
        </w:rPr>
      </w:pPr>
      <w:r>
        <w:rPr>
          <w:rFonts w:eastAsia="仿宋_GB2312"/>
          <w:sz w:val="32"/>
          <w:szCs w:val="32"/>
        </w:rPr>
        <w:t>2</w:t>
      </w:r>
      <w:r>
        <w:rPr>
          <w:rFonts w:hint="eastAsia" w:eastAsia="仿宋_GB2312"/>
          <w:sz w:val="32"/>
          <w:szCs w:val="32"/>
        </w:rPr>
        <w:t>4</w:t>
      </w:r>
      <w:r>
        <w:rPr>
          <w:rFonts w:eastAsia="仿宋_GB2312"/>
          <w:sz w:val="32"/>
          <w:szCs w:val="32"/>
        </w:rPr>
        <w:t>.机关运行经费：为保障行政单位（含参照公务员法管理的事业单位）运行用于购买货物和服务的各项资金，包括办公及印刷费、邮电费、差旅费、会议费、福利费、日常维修费。</w:t>
      </w:r>
    </w:p>
    <w:bookmarkEnd w:id="99"/>
    <w:p>
      <w:pPr>
        <w:pStyle w:val="3"/>
        <w:ind w:firstLine="440" w:firstLineChars="100"/>
        <w:jc w:val="center"/>
        <w:rPr>
          <w:rFonts w:eastAsia="方正小标宋简体" w:cs="方正小标宋简体"/>
          <w:bCs w:val="0"/>
        </w:rPr>
      </w:pPr>
      <w:bookmarkStart w:id="102" w:name="_Toc206602915"/>
      <w:r>
        <w:rPr>
          <w:rFonts w:hint="eastAsia" w:eastAsia="方正小标宋简体" w:cs="方正小标宋简体"/>
          <w:b w:val="0"/>
        </w:rPr>
        <w:t>第四部分  附件</w:t>
      </w:r>
      <w:bookmarkEnd w:id="100"/>
      <w:bookmarkEnd w:id="102"/>
    </w:p>
    <w:p>
      <w:pPr>
        <w:jc w:val="left"/>
        <w:rPr>
          <w:rFonts w:hint="eastAsia" w:ascii="黑体" w:hAnsi="黑体" w:eastAsia="黑体"/>
          <w:sz w:val="32"/>
          <w:szCs w:val="32"/>
        </w:rPr>
      </w:pPr>
      <w:r>
        <w:rPr>
          <w:rFonts w:hint="eastAsia" w:ascii="黑体" w:hAnsi="黑体" w:eastAsia="黑体"/>
          <w:sz w:val="32"/>
          <w:szCs w:val="32"/>
        </w:rPr>
        <w:t>附件</w:t>
      </w:r>
    </w:p>
    <w:p>
      <w:pPr>
        <w:pStyle w:val="2"/>
        <w:spacing w:before="93"/>
        <w:jc w:val="center"/>
        <w:rPr>
          <w:rFonts w:hint="eastAsia" w:ascii="方正小标宋简体" w:eastAsia="方正小标宋简体" w:hAnsiTheme="minorEastAsia"/>
          <w:sz w:val="36"/>
          <w:szCs w:val="36"/>
        </w:rPr>
      </w:pPr>
      <w:r>
        <w:rPr>
          <w:rFonts w:hint="eastAsia" w:ascii="方正小标宋简体" w:eastAsia="方正小标宋简体"/>
          <w:sz w:val="36"/>
          <w:szCs w:val="36"/>
        </w:rPr>
        <w:t>部门预算项目支出绩效自评表</w:t>
      </w:r>
      <w:r>
        <w:rPr>
          <w:rFonts w:hint="eastAsia" w:ascii="方正小标宋简体" w:eastAsia="方正小标宋简体" w:hAnsiTheme="minorEastAsia"/>
          <w:sz w:val="36"/>
          <w:szCs w:val="36"/>
        </w:rPr>
        <w:t>（2024年度）</w:t>
      </w:r>
    </w:p>
    <w:tbl>
      <w:tblPr>
        <w:tblStyle w:val="16"/>
        <w:tblW w:w="561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0"/>
        <w:gridCol w:w="1165"/>
        <w:gridCol w:w="742"/>
        <w:gridCol w:w="1152"/>
        <w:gridCol w:w="652"/>
        <w:gridCol w:w="646"/>
        <w:gridCol w:w="650"/>
        <w:gridCol w:w="969"/>
        <w:gridCol w:w="649"/>
        <w:gridCol w:w="649"/>
        <w:gridCol w:w="1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944" w:type="pct"/>
            <w:gridSpan w:val="2"/>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项目名称</w:t>
            </w:r>
          </w:p>
        </w:tc>
        <w:tc>
          <w:tcPr>
            <w:tcW w:w="4056" w:type="pct"/>
            <w:gridSpan w:val="9"/>
            <w:shd w:val="clear" w:color="auto" w:fill="auto"/>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51090022T000000285395-工本费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944" w:type="pct"/>
            <w:gridSpan w:val="2"/>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主管部门</w:t>
            </w:r>
          </w:p>
        </w:tc>
        <w:tc>
          <w:tcPr>
            <w:tcW w:w="2009" w:type="pct"/>
            <w:gridSpan w:val="5"/>
            <w:shd w:val="clear" w:color="auto" w:fill="auto"/>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遂宁市财政局部门</w:t>
            </w:r>
          </w:p>
        </w:tc>
        <w:tc>
          <w:tcPr>
            <w:tcW w:w="497" w:type="pct"/>
            <w:shd w:val="clear" w:color="auto" w:fill="auto"/>
            <w:vAlign w:val="center"/>
          </w:tcPr>
          <w:p>
            <w:pPr>
              <w:widowControl/>
              <w:jc w:val="center"/>
              <w:rPr>
                <w:rFonts w:cs="Courier New" w:asciiTheme="minorEastAsia" w:hAnsiTheme="minorEastAsia" w:eastAsiaTheme="minorEastAsia"/>
                <w:color w:val="000000"/>
                <w:kern w:val="0"/>
                <w:szCs w:val="21"/>
              </w:rPr>
            </w:pPr>
            <w:r>
              <w:rPr>
                <w:rFonts w:cs="Courier New" w:asciiTheme="minorEastAsia" w:hAnsiTheme="minorEastAsia" w:eastAsiaTheme="minorEastAsia"/>
                <w:color w:val="000000"/>
                <w:kern w:val="0"/>
                <w:szCs w:val="21"/>
              </w:rPr>
              <w:t>实施单位 （盖章）</w:t>
            </w:r>
          </w:p>
        </w:tc>
        <w:tc>
          <w:tcPr>
            <w:tcW w:w="1551" w:type="pct"/>
            <w:gridSpan w:val="3"/>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遂宁市票据监管中心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335" w:type="pct"/>
            <w:vMerge w:val="restart"/>
            <w:shd w:val="clear" w:color="auto" w:fill="auto"/>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项目基本情况</w:t>
            </w:r>
          </w:p>
        </w:tc>
        <w:tc>
          <w:tcPr>
            <w:tcW w:w="609" w:type="pct"/>
            <w:vMerge w:val="restart"/>
            <w:shd w:val="clear" w:color="auto" w:fill="auto"/>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1.项目年度目标完成情况</w:t>
            </w:r>
          </w:p>
        </w:tc>
        <w:tc>
          <w:tcPr>
            <w:tcW w:w="2009" w:type="pct"/>
            <w:gridSpan w:val="5"/>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项目年度目标</w:t>
            </w:r>
          </w:p>
        </w:tc>
        <w:tc>
          <w:tcPr>
            <w:tcW w:w="2047" w:type="pct"/>
            <w:gridSpan w:val="4"/>
            <w:shd w:val="clear" w:color="auto" w:fill="auto"/>
            <w:vAlign w:val="center"/>
          </w:tcPr>
          <w:p>
            <w:pPr>
              <w:widowControl/>
              <w:jc w:val="center"/>
              <w:rPr>
                <w:rFonts w:cs="Courier New" w:asciiTheme="minorEastAsia" w:hAnsiTheme="minorEastAsia" w:eastAsiaTheme="minorEastAsia"/>
                <w:color w:val="000000"/>
                <w:kern w:val="0"/>
                <w:szCs w:val="21"/>
              </w:rPr>
            </w:pPr>
            <w:r>
              <w:rPr>
                <w:rFonts w:cs="Courier New" w:asciiTheme="minorEastAsia" w:hAnsiTheme="minorEastAsia" w:eastAsiaTheme="minorEastAsia"/>
                <w:color w:val="000000"/>
                <w:kern w:val="0"/>
                <w:szCs w:val="21"/>
              </w:rPr>
              <w:t>年度目标完成情况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jc w:val="center"/>
        </w:trPr>
        <w:tc>
          <w:tcPr>
            <w:tcW w:w="335" w:type="pct"/>
            <w:vMerge w:val="continue"/>
            <w:vAlign w:val="center"/>
          </w:tcPr>
          <w:p>
            <w:pPr>
              <w:widowControl/>
              <w:jc w:val="left"/>
              <w:rPr>
                <w:rFonts w:cs="宋体" w:asciiTheme="minorEastAsia" w:hAnsiTheme="minorEastAsia" w:eastAsiaTheme="minorEastAsia"/>
                <w:color w:val="000000"/>
                <w:kern w:val="0"/>
                <w:szCs w:val="21"/>
              </w:rPr>
            </w:pPr>
          </w:p>
        </w:tc>
        <w:tc>
          <w:tcPr>
            <w:tcW w:w="609" w:type="pct"/>
            <w:vMerge w:val="continue"/>
            <w:vAlign w:val="center"/>
          </w:tcPr>
          <w:p>
            <w:pPr>
              <w:widowControl/>
              <w:jc w:val="left"/>
              <w:rPr>
                <w:rFonts w:cs="宋体" w:asciiTheme="minorEastAsia" w:hAnsiTheme="minorEastAsia" w:eastAsiaTheme="minorEastAsia"/>
                <w:color w:val="000000"/>
                <w:kern w:val="0"/>
                <w:szCs w:val="21"/>
              </w:rPr>
            </w:pPr>
          </w:p>
        </w:tc>
        <w:tc>
          <w:tcPr>
            <w:tcW w:w="2009" w:type="pct"/>
            <w:gridSpan w:val="5"/>
            <w:shd w:val="clear" w:color="auto" w:fill="auto"/>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确保我市非税收入管理顺利开展、有序推进财政票据发放工作。</w:t>
            </w:r>
          </w:p>
        </w:tc>
        <w:tc>
          <w:tcPr>
            <w:tcW w:w="2047" w:type="pct"/>
            <w:gridSpan w:val="4"/>
            <w:shd w:val="clear" w:color="auto" w:fill="auto"/>
            <w:vAlign w:val="center"/>
          </w:tcPr>
          <w:p>
            <w:pPr>
              <w:widowControl/>
              <w:jc w:val="left"/>
              <w:rPr>
                <w:rFonts w:cs="Courier New" w:asciiTheme="minorEastAsia" w:hAnsiTheme="minorEastAsia" w:eastAsiaTheme="minorEastAsia"/>
                <w:color w:val="000000"/>
                <w:kern w:val="0"/>
                <w:szCs w:val="21"/>
              </w:rPr>
            </w:pPr>
            <w:r>
              <w:rPr>
                <w:rFonts w:cs="Courier New" w:asciiTheme="minorEastAsia" w:hAnsiTheme="minorEastAsia" w:eastAsiaTheme="minorEastAsia"/>
                <w:color w:val="000000"/>
                <w:kern w:val="0"/>
                <w:szCs w:val="21"/>
              </w:rPr>
              <w:t>对照年度目标，说明相关任务目标的完成情况（100字以内）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jc w:val="center"/>
        </w:trPr>
        <w:tc>
          <w:tcPr>
            <w:tcW w:w="335" w:type="pct"/>
            <w:vMerge w:val="continue"/>
            <w:vAlign w:val="center"/>
          </w:tcPr>
          <w:p>
            <w:pPr>
              <w:widowControl/>
              <w:jc w:val="left"/>
              <w:rPr>
                <w:rFonts w:cs="宋体" w:asciiTheme="minorEastAsia" w:hAnsiTheme="minorEastAsia" w:eastAsiaTheme="minorEastAsia"/>
                <w:color w:val="000000"/>
                <w:kern w:val="0"/>
                <w:szCs w:val="21"/>
              </w:rPr>
            </w:pPr>
          </w:p>
        </w:tc>
        <w:tc>
          <w:tcPr>
            <w:tcW w:w="609" w:type="pct"/>
            <w:shd w:val="clear" w:color="auto" w:fill="auto"/>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2.项目实施内容及过程概述</w:t>
            </w:r>
          </w:p>
        </w:tc>
        <w:tc>
          <w:tcPr>
            <w:tcW w:w="4056" w:type="pct"/>
            <w:gridSpan w:val="9"/>
            <w:shd w:val="clear" w:color="auto" w:fill="auto"/>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完成财政电子、纸质票据的发放、使用、核销等工作，实现电子票据全覆盖，减少纸质票据使用量。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335" w:type="pct"/>
            <w:vMerge w:val="restar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预算执行情况（10分）</w:t>
            </w:r>
          </w:p>
        </w:tc>
        <w:tc>
          <w:tcPr>
            <w:tcW w:w="609"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年度预算数（万元）</w:t>
            </w:r>
          </w:p>
        </w:tc>
        <w:tc>
          <w:tcPr>
            <w:tcW w:w="388"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年初预算</w:t>
            </w:r>
          </w:p>
        </w:tc>
        <w:tc>
          <w:tcPr>
            <w:tcW w:w="602"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调整后预算数</w:t>
            </w:r>
          </w:p>
        </w:tc>
        <w:tc>
          <w:tcPr>
            <w:tcW w:w="1019" w:type="pct"/>
            <w:gridSpan w:val="3"/>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预算执行数</w:t>
            </w:r>
          </w:p>
        </w:tc>
        <w:tc>
          <w:tcPr>
            <w:tcW w:w="497"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预算执行率</w:t>
            </w:r>
          </w:p>
        </w:tc>
        <w:tc>
          <w:tcPr>
            <w:tcW w:w="339"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权重</w:t>
            </w:r>
          </w:p>
        </w:tc>
        <w:tc>
          <w:tcPr>
            <w:tcW w:w="339"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得分</w:t>
            </w:r>
          </w:p>
        </w:tc>
        <w:tc>
          <w:tcPr>
            <w:tcW w:w="872"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335" w:type="pct"/>
            <w:vMerge w:val="continue"/>
            <w:vAlign w:val="center"/>
          </w:tcPr>
          <w:p>
            <w:pPr>
              <w:widowControl/>
              <w:jc w:val="left"/>
              <w:rPr>
                <w:rFonts w:cs="宋体" w:asciiTheme="minorEastAsia" w:hAnsiTheme="minorEastAsia" w:eastAsiaTheme="minorEastAsia"/>
                <w:color w:val="000000"/>
                <w:kern w:val="0"/>
                <w:szCs w:val="21"/>
              </w:rPr>
            </w:pPr>
          </w:p>
        </w:tc>
        <w:tc>
          <w:tcPr>
            <w:tcW w:w="609"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总额</w:t>
            </w:r>
          </w:p>
        </w:tc>
        <w:tc>
          <w:tcPr>
            <w:tcW w:w="388"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15.00</w:t>
            </w:r>
          </w:p>
        </w:tc>
        <w:tc>
          <w:tcPr>
            <w:tcW w:w="602"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10.00</w:t>
            </w:r>
          </w:p>
        </w:tc>
        <w:tc>
          <w:tcPr>
            <w:tcW w:w="1019" w:type="pct"/>
            <w:gridSpan w:val="3"/>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10.00</w:t>
            </w:r>
          </w:p>
        </w:tc>
        <w:tc>
          <w:tcPr>
            <w:tcW w:w="497"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100.00%</w:t>
            </w:r>
          </w:p>
        </w:tc>
        <w:tc>
          <w:tcPr>
            <w:tcW w:w="339"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10</w:t>
            </w:r>
          </w:p>
        </w:tc>
        <w:tc>
          <w:tcPr>
            <w:tcW w:w="339"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10</w:t>
            </w:r>
          </w:p>
        </w:tc>
        <w:tc>
          <w:tcPr>
            <w:tcW w:w="872" w:type="pct"/>
            <w:vMerge w:val="restart"/>
            <w:shd w:val="clear" w:color="auto" w:fill="auto"/>
            <w:vAlign w:val="center"/>
          </w:tcPr>
          <w:p>
            <w:pPr>
              <w:widowControl/>
              <w:jc w:val="left"/>
              <w:rPr>
                <w:rFonts w:cs="Courier New" w:asciiTheme="minorEastAsia" w:hAnsiTheme="minorEastAsia" w:eastAsiaTheme="minorEastAsia"/>
                <w:i/>
                <w:i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335" w:type="pct"/>
            <w:vMerge w:val="continue"/>
            <w:vAlign w:val="center"/>
          </w:tcPr>
          <w:p>
            <w:pPr>
              <w:widowControl/>
              <w:jc w:val="left"/>
              <w:rPr>
                <w:rFonts w:cs="宋体" w:asciiTheme="minorEastAsia" w:hAnsiTheme="minorEastAsia" w:eastAsiaTheme="minorEastAsia"/>
                <w:color w:val="000000"/>
                <w:kern w:val="0"/>
                <w:szCs w:val="21"/>
              </w:rPr>
            </w:pPr>
          </w:p>
        </w:tc>
        <w:tc>
          <w:tcPr>
            <w:tcW w:w="609"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其中：财政资金</w:t>
            </w:r>
          </w:p>
        </w:tc>
        <w:tc>
          <w:tcPr>
            <w:tcW w:w="388"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15.00</w:t>
            </w:r>
          </w:p>
        </w:tc>
        <w:tc>
          <w:tcPr>
            <w:tcW w:w="602"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10.00</w:t>
            </w:r>
          </w:p>
        </w:tc>
        <w:tc>
          <w:tcPr>
            <w:tcW w:w="1019" w:type="pct"/>
            <w:gridSpan w:val="3"/>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10.00</w:t>
            </w:r>
          </w:p>
        </w:tc>
        <w:tc>
          <w:tcPr>
            <w:tcW w:w="497"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100.00%</w:t>
            </w:r>
          </w:p>
        </w:tc>
        <w:tc>
          <w:tcPr>
            <w:tcW w:w="339"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w:t>
            </w:r>
          </w:p>
        </w:tc>
        <w:tc>
          <w:tcPr>
            <w:tcW w:w="339"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w:t>
            </w:r>
          </w:p>
        </w:tc>
        <w:tc>
          <w:tcPr>
            <w:tcW w:w="872" w:type="pct"/>
            <w:vMerge w:val="continue"/>
            <w:vAlign w:val="center"/>
          </w:tcPr>
          <w:p>
            <w:pPr>
              <w:widowControl/>
              <w:jc w:val="left"/>
              <w:rPr>
                <w:rFonts w:cs="Courier New" w:asciiTheme="minorEastAsia" w:hAnsiTheme="minorEastAsia" w:eastAsiaTheme="minorEastAsia"/>
                <w:i/>
                <w:i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335" w:type="pct"/>
            <w:vMerge w:val="continue"/>
            <w:vAlign w:val="center"/>
          </w:tcPr>
          <w:p>
            <w:pPr>
              <w:widowControl/>
              <w:jc w:val="left"/>
              <w:rPr>
                <w:rFonts w:cs="宋体" w:asciiTheme="minorEastAsia" w:hAnsiTheme="minorEastAsia" w:eastAsiaTheme="minorEastAsia"/>
                <w:color w:val="000000"/>
                <w:kern w:val="0"/>
                <w:szCs w:val="21"/>
              </w:rPr>
            </w:pPr>
          </w:p>
        </w:tc>
        <w:tc>
          <w:tcPr>
            <w:tcW w:w="609"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财政专户管理资金</w:t>
            </w:r>
          </w:p>
        </w:tc>
        <w:tc>
          <w:tcPr>
            <w:tcW w:w="388"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0.00</w:t>
            </w:r>
          </w:p>
        </w:tc>
        <w:tc>
          <w:tcPr>
            <w:tcW w:w="602"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0.00</w:t>
            </w:r>
          </w:p>
        </w:tc>
        <w:tc>
          <w:tcPr>
            <w:tcW w:w="1019" w:type="pct"/>
            <w:gridSpan w:val="3"/>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0.00</w:t>
            </w:r>
          </w:p>
        </w:tc>
        <w:tc>
          <w:tcPr>
            <w:tcW w:w="497"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0.00%</w:t>
            </w:r>
          </w:p>
        </w:tc>
        <w:tc>
          <w:tcPr>
            <w:tcW w:w="339"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w:t>
            </w:r>
          </w:p>
        </w:tc>
        <w:tc>
          <w:tcPr>
            <w:tcW w:w="339"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w:t>
            </w:r>
          </w:p>
        </w:tc>
        <w:tc>
          <w:tcPr>
            <w:tcW w:w="872" w:type="pct"/>
            <w:vMerge w:val="continue"/>
            <w:vAlign w:val="center"/>
          </w:tcPr>
          <w:p>
            <w:pPr>
              <w:widowControl/>
              <w:jc w:val="left"/>
              <w:rPr>
                <w:rFonts w:cs="Courier New" w:asciiTheme="minorEastAsia" w:hAnsiTheme="minorEastAsia" w:eastAsiaTheme="minorEastAsia"/>
                <w:i/>
                <w:i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335" w:type="pct"/>
            <w:vMerge w:val="continue"/>
            <w:vAlign w:val="center"/>
          </w:tcPr>
          <w:p>
            <w:pPr>
              <w:widowControl/>
              <w:jc w:val="left"/>
              <w:rPr>
                <w:rFonts w:cs="宋体" w:asciiTheme="minorEastAsia" w:hAnsiTheme="minorEastAsia" w:eastAsiaTheme="minorEastAsia"/>
                <w:color w:val="000000"/>
                <w:kern w:val="0"/>
                <w:szCs w:val="21"/>
              </w:rPr>
            </w:pPr>
          </w:p>
        </w:tc>
        <w:tc>
          <w:tcPr>
            <w:tcW w:w="609"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单位资金</w:t>
            </w:r>
          </w:p>
        </w:tc>
        <w:tc>
          <w:tcPr>
            <w:tcW w:w="388"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0.00</w:t>
            </w:r>
          </w:p>
        </w:tc>
        <w:tc>
          <w:tcPr>
            <w:tcW w:w="602"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0.00</w:t>
            </w:r>
          </w:p>
        </w:tc>
        <w:tc>
          <w:tcPr>
            <w:tcW w:w="1019" w:type="pct"/>
            <w:gridSpan w:val="3"/>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0.00</w:t>
            </w:r>
          </w:p>
        </w:tc>
        <w:tc>
          <w:tcPr>
            <w:tcW w:w="497"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0.00%</w:t>
            </w:r>
          </w:p>
        </w:tc>
        <w:tc>
          <w:tcPr>
            <w:tcW w:w="339"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w:t>
            </w:r>
          </w:p>
        </w:tc>
        <w:tc>
          <w:tcPr>
            <w:tcW w:w="339"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w:t>
            </w:r>
          </w:p>
        </w:tc>
        <w:tc>
          <w:tcPr>
            <w:tcW w:w="872" w:type="pct"/>
            <w:vMerge w:val="continue"/>
            <w:vAlign w:val="center"/>
          </w:tcPr>
          <w:p>
            <w:pPr>
              <w:widowControl/>
              <w:jc w:val="left"/>
              <w:rPr>
                <w:rFonts w:cs="Courier New" w:asciiTheme="minorEastAsia" w:hAnsiTheme="minorEastAsia" w:eastAsiaTheme="minorEastAsia"/>
                <w:i/>
                <w:i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335" w:type="pct"/>
            <w:vMerge w:val="continue"/>
            <w:vAlign w:val="center"/>
          </w:tcPr>
          <w:p>
            <w:pPr>
              <w:widowControl/>
              <w:jc w:val="left"/>
              <w:rPr>
                <w:rFonts w:cs="宋体" w:asciiTheme="minorEastAsia" w:hAnsiTheme="minorEastAsia" w:eastAsiaTheme="minorEastAsia"/>
                <w:color w:val="000000"/>
                <w:kern w:val="0"/>
                <w:szCs w:val="21"/>
              </w:rPr>
            </w:pPr>
          </w:p>
        </w:tc>
        <w:tc>
          <w:tcPr>
            <w:tcW w:w="609"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其他资金</w:t>
            </w:r>
          </w:p>
        </w:tc>
        <w:tc>
          <w:tcPr>
            <w:tcW w:w="388" w:type="pct"/>
            <w:shd w:val="clear" w:color="auto" w:fill="auto"/>
            <w:vAlign w:val="center"/>
          </w:tcPr>
          <w:p>
            <w:pPr>
              <w:widowControl/>
              <w:jc w:val="center"/>
              <w:rPr>
                <w:rFonts w:cs="宋体" w:asciiTheme="minorEastAsia" w:hAnsiTheme="minorEastAsia" w:eastAsiaTheme="minorEastAsia"/>
                <w:i/>
                <w:iCs/>
                <w:color w:val="000000"/>
                <w:kern w:val="0"/>
                <w:szCs w:val="21"/>
              </w:rPr>
            </w:pPr>
            <w:r>
              <w:rPr>
                <w:rFonts w:hint="eastAsia" w:cs="宋体" w:asciiTheme="minorEastAsia" w:hAnsiTheme="minorEastAsia" w:eastAsiaTheme="minorEastAsia"/>
                <w:i/>
                <w:iCs/>
                <w:color w:val="000000"/>
                <w:kern w:val="0"/>
                <w:szCs w:val="21"/>
              </w:rPr>
              <w:t>　</w:t>
            </w:r>
          </w:p>
        </w:tc>
        <w:tc>
          <w:tcPr>
            <w:tcW w:w="602" w:type="pct"/>
            <w:shd w:val="clear" w:color="auto" w:fill="auto"/>
            <w:vAlign w:val="center"/>
          </w:tcPr>
          <w:p>
            <w:pPr>
              <w:widowControl/>
              <w:jc w:val="center"/>
              <w:rPr>
                <w:rFonts w:cs="宋体" w:asciiTheme="minorEastAsia" w:hAnsiTheme="minorEastAsia" w:eastAsiaTheme="minorEastAsia"/>
                <w:i/>
                <w:iCs/>
                <w:color w:val="000000"/>
                <w:kern w:val="0"/>
                <w:szCs w:val="21"/>
              </w:rPr>
            </w:pPr>
            <w:r>
              <w:rPr>
                <w:rFonts w:hint="eastAsia" w:cs="宋体" w:asciiTheme="minorEastAsia" w:hAnsiTheme="minorEastAsia" w:eastAsiaTheme="minorEastAsia"/>
                <w:i/>
                <w:iCs/>
                <w:color w:val="000000"/>
                <w:kern w:val="0"/>
                <w:szCs w:val="21"/>
              </w:rPr>
              <w:t>　</w:t>
            </w:r>
          </w:p>
        </w:tc>
        <w:tc>
          <w:tcPr>
            <w:tcW w:w="1019" w:type="pct"/>
            <w:gridSpan w:val="3"/>
            <w:shd w:val="clear" w:color="auto" w:fill="auto"/>
            <w:vAlign w:val="center"/>
          </w:tcPr>
          <w:p>
            <w:pPr>
              <w:widowControl/>
              <w:jc w:val="center"/>
              <w:rPr>
                <w:rFonts w:cs="宋体" w:asciiTheme="minorEastAsia" w:hAnsiTheme="minorEastAsia" w:eastAsiaTheme="minorEastAsia"/>
                <w:i/>
                <w:iCs/>
                <w:color w:val="000000"/>
                <w:kern w:val="0"/>
                <w:szCs w:val="21"/>
              </w:rPr>
            </w:pPr>
            <w:r>
              <w:rPr>
                <w:rFonts w:hint="eastAsia" w:cs="宋体" w:asciiTheme="minorEastAsia" w:hAnsiTheme="minorEastAsia" w:eastAsiaTheme="minorEastAsia"/>
                <w:i/>
                <w:iCs/>
                <w:color w:val="000000"/>
                <w:kern w:val="0"/>
                <w:szCs w:val="21"/>
              </w:rPr>
              <w:t>　</w:t>
            </w:r>
          </w:p>
        </w:tc>
        <w:tc>
          <w:tcPr>
            <w:tcW w:w="497" w:type="pct"/>
            <w:shd w:val="clear" w:color="auto" w:fill="auto"/>
            <w:vAlign w:val="center"/>
          </w:tcPr>
          <w:p>
            <w:pPr>
              <w:widowControl/>
              <w:jc w:val="center"/>
              <w:rPr>
                <w:rFonts w:cs="宋体" w:asciiTheme="minorEastAsia" w:hAnsiTheme="minorEastAsia" w:eastAsiaTheme="minorEastAsia"/>
                <w:i/>
                <w:iCs/>
                <w:color w:val="000000"/>
                <w:kern w:val="0"/>
                <w:szCs w:val="21"/>
              </w:rPr>
            </w:pPr>
            <w:r>
              <w:rPr>
                <w:rFonts w:hint="eastAsia" w:cs="宋体" w:asciiTheme="minorEastAsia" w:hAnsiTheme="minorEastAsia" w:eastAsiaTheme="minorEastAsia"/>
                <w:i/>
                <w:iCs/>
                <w:color w:val="000000"/>
                <w:kern w:val="0"/>
                <w:szCs w:val="21"/>
              </w:rPr>
              <w:t>　</w:t>
            </w:r>
          </w:p>
        </w:tc>
        <w:tc>
          <w:tcPr>
            <w:tcW w:w="339"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w:t>
            </w:r>
          </w:p>
        </w:tc>
        <w:tc>
          <w:tcPr>
            <w:tcW w:w="339"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w:t>
            </w:r>
          </w:p>
        </w:tc>
        <w:tc>
          <w:tcPr>
            <w:tcW w:w="872" w:type="pct"/>
            <w:vMerge w:val="continue"/>
            <w:vAlign w:val="center"/>
          </w:tcPr>
          <w:p>
            <w:pPr>
              <w:widowControl/>
              <w:jc w:val="left"/>
              <w:rPr>
                <w:rFonts w:cs="Courier New" w:asciiTheme="minorEastAsia" w:hAnsiTheme="minorEastAsia" w:eastAsiaTheme="minorEastAsia"/>
                <w:i/>
                <w:i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35" w:type="pct"/>
            <w:vMerge w:val="restar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绩效指标（90分）</w:t>
            </w:r>
          </w:p>
        </w:tc>
        <w:tc>
          <w:tcPr>
            <w:tcW w:w="609"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一级指标</w:t>
            </w:r>
          </w:p>
        </w:tc>
        <w:tc>
          <w:tcPr>
            <w:tcW w:w="388"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二级指标</w:t>
            </w:r>
          </w:p>
        </w:tc>
        <w:tc>
          <w:tcPr>
            <w:tcW w:w="602"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三级指标</w:t>
            </w:r>
          </w:p>
        </w:tc>
        <w:tc>
          <w:tcPr>
            <w:tcW w:w="341"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指标性质</w:t>
            </w:r>
          </w:p>
        </w:tc>
        <w:tc>
          <w:tcPr>
            <w:tcW w:w="338"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指标值</w:t>
            </w:r>
          </w:p>
        </w:tc>
        <w:tc>
          <w:tcPr>
            <w:tcW w:w="339"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度量单位</w:t>
            </w:r>
          </w:p>
        </w:tc>
        <w:tc>
          <w:tcPr>
            <w:tcW w:w="497"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完成值</w:t>
            </w:r>
          </w:p>
        </w:tc>
        <w:tc>
          <w:tcPr>
            <w:tcW w:w="339"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权重</w:t>
            </w:r>
          </w:p>
        </w:tc>
        <w:tc>
          <w:tcPr>
            <w:tcW w:w="339"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得分</w:t>
            </w:r>
          </w:p>
        </w:tc>
        <w:tc>
          <w:tcPr>
            <w:tcW w:w="872" w:type="pct"/>
            <w:shd w:val="clear" w:color="auto" w:fill="auto"/>
            <w:vAlign w:val="center"/>
          </w:tcPr>
          <w:p>
            <w:pPr>
              <w:widowControl/>
              <w:jc w:val="center"/>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未完成</w:t>
            </w:r>
          </w:p>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原因分析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jc w:val="center"/>
        </w:trPr>
        <w:tc>
          <w:tcPr>
            <w:tcW w:w="335" w:type="pct"/>
            <w:vMerge w:val="continue"/>
            <w:vAlign w:val="center"/>
          </w:tcPr>
          <w:p>
            <w:pPr>
              <w:widowControl/>
              <w:jc w:val="left"/>
              <w:rPr>
                <w:rFonts w:cs="宋体" w:asciiTheme="minorEastAsia" w:hAnsiTheme="minorEastAsia" w:eastAsiaTheme="minorEastAsia"/>
                <w:color w:val="000000"/>
                <w:kern w:val="0"/>
                <w:szCs w:val="21"/>
              </w:rPr>
            </w:pPr>
          </w:p>
        </w:tc>
        <w:tc>
          <w:tcPr>
            <w:tcW w:w="609" w:type="pct"/>
            <w:vMerge w:val="restar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产出指标</w:t>
            </w:r>
          </w:p>
        </w:tc>
        <w:tc>
          <w:tcPr>
            <w:tcW w:w="388"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数量指标</w:t>
            </w:r>
          </w:p>
        </w:tc>
        <w:tc>
          <w:tcPr>
            <w:tcW w:w="602"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发放财政票据数量</w:t>
            </w:r>
          </w:p>
        </w:tc>
        <w:tc>
          <w:tcPr>
            <w:tcW w:w="341"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w:t>
            </w:r>
          </w:p>
        </w:tc>
        <w:tc>
          <w:tcPr>
            <w:tcW w:w="338"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1000</w:t>
            </w:r>
          </w:p>
        </w:tc>
        <w:tc>
          <w:tcPr>
            <w:tcW w:w="339"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万份</w:t>
            </w:r>
          </w:p>
        </w:tc>
        <w:tc>
          <w:tcPr>
            <w:tcW w:w="497" w:type="pct"/>
            <w:shd w:val="clear" w:color="auto" w:fill="auto"/>
            <w:vAlign w:val="center"/>
          </w:tcPr>
          <w:p>
            <w:pPr>
              <w:widowControl/>
              <w:jc w:val="center"/>
              <w:rPr>
                <w:rFonts w:cs="宋体" w:asciiTheme="minorEastAsia" w:hAnsiTheme="minorEastAsia" w:eastAsiaTheme="minorEastAsia"/>
                <w:i/>
                <w:iCs/>
                <w:color w:val="000000"/>
                <w:kern w:val="0"/>
                <w:szCs w:val="21"/>
              </w:rPr>
            </w:pPr>
            <w:r>
              <w:rPr>
                <w:rFonts w:hint="eastAsia" w:cs="宋体" w:asciiTheme="minorEastAsia" w:hAnsiTheme="minorEastAsia" w:eastAsiaTheme="minorEastAsia"/>
                <w:i/>
                <w:iCs/>
                <w:color w:val="000000"/>
                <w:kern w:val="0"/>
                <w:szCs w:val="21"/>
              </w:rPr>
              <w:t>2000</w:t>
            </w:r>
          </w:p>
        </w:tc>
        <w:tc>
          <w:tcPr>
            <w:tcW w:w="339"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20</w:t>
            </w:r>
          </w:p>
        </w:tc>
        <w:tc>
          <w:tcPr>
            <w:tcW w:w="339"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20</w:t>
            </w:r>
          </w:p>
        </w:tc>
        <w:tc>
          <w:tcPr>
            <w:tcW w:w="872"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jc w:val="center"/>
        </w:trPr>
        <w:tc>
          <w:tcPr>
            <w:tcW w:w="335" w:type="pct"/>
            <w:vMerge w:val="continue"/>
            <w:vAlign w:val="center"/>
          </w:tcPr>
          <w:p>
            <w:pPr>
              <w:widowControl/>
              <w:jc w:val="left"/>
              <w:rPr>
                <w:rFonts w:cs="宋体" w:asciiTheme="minorEastAsia" w:hAnsiTheme="minorEastAsia" w:eastAsiaTheme="minorEastAsia"/>
                <w:color w:val="000000"/>
                <w:kern w:val="0"/>
                <w:szCs w:val="21"/>
              </w:rPr>
            </w:pPr>
          </w:p>
        </w:tc>
        <w:tc>
          <w:tcPr>
            <w:tcW w:w="609" w:type="pct"/>
            <w:vMerge w:val="continue"/>
            <w:vAlign w:val="center"/>
          </w:tcPr>
          <w:p>
            <w:pPr>
              <w:widowControl/>
              <w:jc w:val="left"/>
              <w:rPr>
                <w:rFonts w:cs="宋体" w:asciiTheme="minorEastAsia" w:hAnsiTheme="minorEastAsia" w:eastAsiaTheme="minorEastAsia"/>
                <w:color w:val="000000"/>
                <w:kern w:val="0"/>
                <w:szCs w:val="21"/>
              </w:rPr>
            </w:pPr>
          </w:p>
        </w:tc>
        <w:tc>
          <w:tcPr>
            <w:tcW w:w="388"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时效指标</w:t>
            </w:r>
          </w:p>
        </w:tc>
        <w:tc>
          <w:tcPr>
            <w:tcW w:w="602"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及时向用票单位出库票据</w:t>
            </w:r>
          </w:p>
        </w:tc>
        <w:tc>
          <w:tcPr>
            <w:tcW w:w="341"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定性</w:t>
            </w:r>
          </w:p>
        </w:tc>
        <w:tc>
          <w:tcPr>
            <w:tcW w:w="338"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365</w:t>
            </w:r>
          </w:p>
        </w:tc>
        <w:tc>
          <w:tcPr>
            <w:tcW w:w="339"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天</w:t>
            </w:r>
          </w:p>
        </w:tc>
        <w:tc>
          <w:tcPr>
            <w:tcW w:w="497" w:type="pct"/>
            <w:shd w:val="clear" w:color="auto" w:fill="auto"/>
            <w:vAlign w:val="center"/>
          </w:tcPr>
          <w:p>
            <w:pPr>
              <w:widowControl/>
              <w:jc w:val="center"/>
              <w:rPr>
                <w:rFonts w:cs="宋体" w:asciiTheme="minorEastAsia" w:hAnsiTheme="minorEastAsia" w:eastAsiaTheme="minorEastAsia"/>
                <w:i/>
                <w:iCs/>
                <w:color w:val="000000"/>
                <w:kern w:val="0"/>
                <w:szCs w:val="21"/>
              </w:rPr>
            </w:pPr>
            <w:r>
              <w:rPr>
                <w:rFonts w:hint="eastAsia" w:cs="宋体" w:asciiTheme="minorEastAsia" w:hAnsiTheme="minorEastAsia" w:eastAsiaTheme="minorEastAsia"/>
                <w:i/>
                <w:iCs/>
                <w:color w:val="000000"/>
                <w:kern w:val="0"/>
                <w:szCs w:val="21"/>
              </w:rPr>
              <w:t>365</w:t>
            </w:r>
          </w:p>
        </w:tc>
        <w:tc>
          <w:tcPr>
            <w:tcW w:w="339"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20</w:t>
            </w:r>
          </w:p>
        </w:tc>
        <w:tc>
          <w:tcPr>
            <w:tcW w:w="339"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20</w:t>
            </w:r>
          </w:p>
        </w:tc>
        <w:tc>
          <w:tcPr>
            <w:tcW w:w="872"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jc w:val="center"/>
        </w:trPr>
        <w:tc>
          <w:tcPr>
            <w:tcW w:w="335" w:type="pct"/>
            <w:vMerge w:val="continue"/>
            <w:vAlign w:val="center"/>
          </w:tcPr>
          <w:p>
            <w:pPr>
              <w:widowControl/>
              <w:jc w:val="left"/>
              <w:rPr>
                <w:rFonts w:cs="宋体" w:asciiTheme="minorEastAsia" w:hAnsiTheme="minorEastAsia" w:eastAsiaTheme="minorEastAsia"/>
                <w:color w:val="000000"/>
                <w:kern w:val="0"/>
                <w:szCs w:val="21"/>
              </w:rPr>
            </w:pPr>
          </w:p>
        </w:tc>
        <w:tc>
          <w:tcPr>
            <w:tcW w:w="609" w:type="pct"/>
            <w:vMerge w:val="restar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效益指标</w:t>
            </w:r>
          </w:p>
        </w:tc>
        <w:tc>
          <w:tcPr>
            <w:tcW w:w="388"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经济效益指标</w:t>
            </w:r>
          </w:p>
        </w:tc>
        <w:tc>
          <w:tcPr>
            <w:tcW w:w="602"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促进非税收入达到预期目标</w:t>
            </w:r>
          </w:p>
        </w:tc>
        <w:tc>
          <w:tcPr>
            <w:tcW w:w="341"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定性</w:t>
            </w:r>
          </w:p>
        </w:tc>
        <w:tc>
          <w:tcPr>
            <w:tcW w:w="338"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优良中低差</w:t>
            </w:r>
          </w:p>
        </w:tc>
        <w:tc>
          <w:tcPr>
            <w:tcW w:w="339"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元</w:t>
            </w:r>
          </w:p>
        </w:tc>
        <w:tc>
          <w:tcPr>
            <w:tcW w:w="497" w:type="pct"/>
            <w:shd w:val="clear" w:color="auto" w:fill="auto"/>
            <w:vAlign w:val="center"/>
          </w:tcPr>
          <w:p>
            <w:pPr>
              <w:widowControl/>
              <w:jc w:val="center"/>
              <w:rPr>
                <w:rFonts w:cs="宋体" w:asciiTheme="minorEastAsia" w:hAnsiTheme="minorEastAsia" w:eastAsiaTheme="minorEastAsia"/>
                <w:i/>
                <w:iCs/>
                <w:color w:val="000000"/>
                <w:kern w:val="0"/>
                <w:szCs w:val="21"/>
              </w:rPr>
            </w:pPr>
            <w:r>
              <w:rPr>
                <w:rFonts w:hint="eastAsia" w:cs="宋体" w:asciiTheme="minorEastAsia" w:hAnsiTheme="minorEastAsia" w:eastAsiaTheme="minorEastAsia"/>
                <w:i/>
                <w:iCs/>
                <w:color w:val="000000"/>
                <w:kern w:val="0"/>
                <w:szCs w:val="21"/>
              </w:rPr>
              <w:t>优</w:t>
            </w:r>
          </w:p>
        </w:tc>
        <w:tc>
          <w:tcPr>
            <w:tcW w:w="339"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20</w:t>
            </w:r>
          </w:p>
        </w:tc>
        <w:tc>
          <w:tcPr>
            <w:tcW w:w="339"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20</w:t>
            </w:r>
          </w:p>
        </w:tc>
        <w:tc>
          <w:tcPr>
            <w:tcW w:w="872"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jc w:val="center"/>
        </w:trPr>
        <w:tc>
          <w:tcPr>
            <w:tcW w:w="335" w:type="pct"/>
            <w:vMerge w:val="continue"/>
            <w:vAlign w:val="center"/>
          </w:tcPr>
          <w:p>
            <w:pPr>
              <w:widowControl/>
              <w:jc w:val="left"/>
              <w:rPr>
                <w:rFonts w:cs="宋体" w:asciiTheme="minorEastAsia" w:hAnsiTheme="minorEastAsia" w:eastAsiaTheme="minorEastAsia"/>
                <w:color w:val="000000"/>
                <w:kern w:val="0"/>
                <w:szCs w:val="21"/>
              </w:rPr>
            </w:pPr>
          </w:p>
        </w:tc>
        <w:tc>
          <w:tcPr>
            <w:tcW w:w="609" w:type="pct"/>
            <w:vMerge w:val="continue"/>
            <w:vAlign w:val="center"/>
          </w:tcPr>
          <w:p>
            <w:pPr>
              <w:widowControl/>
              <w:jc w:val="left"/>
              <w:rPr>
                <w:rFonts w:cs="宋体" w:asciiTheme="minorEastAsia" w:hAnsiTheme="minorEastAsia" w:eastAsiaTheme="minorEastAsia"/>
                <w:color w:val="000000"/>
                <w:kern w:val="0"/>
                <w:szCs w:val="21"/>
              </w:rPr>
            </w:pPr>
          </w:p>
        </w:tc>
        <w:tc>
          <w:tcPr>
            <w:tcW w:w="388"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社会效益指标</w:t>
            </w:r>
          </w:p>
        </w:tc>
        <w:tc>
          <w:tcPr>
            <w:tcW w:w="602"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确保各用票单位顺利用票</w:t>
            </w:r>
          </w:p>
        </w:tc>
        <w:tc>
          <w:tcPr>
            <w:tcW w:w="341"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定性</w:t>
            </w:r>
          </w:p>
        </w:tc>
        <w:tc>
          <w:tcPr>
            <w:tcW w:w="338"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优良中低差</w:t>
            </w:r>
          </w:p>
        </w:tc>
        <w:tc>
          <w:tcPr>
            <w:tcW w:w="339"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项</w:t>
            </w:r>
          </w:p>
        </w:tc>
        <w:tc>
          <w:tcPr>
            <w:tcW w:w="497" w:type="pct"/>
            <w:shd w:val="clear" w:color="auto" w:fill="auto"/>
            <w:vAlign w:val="center"/>
          </w:tcPr>
          <w:p>
            <w:pPr>
              <w:widowControl/>
              <w:jc w:val="center"/>
              <w:rPr>
                <w:rFonts w:cs="宋体" w:asciiTheme="minorEastAsia" w:hAnsiTheme="minorEastAsia" w:eastAsiaTheme="minorEastAsia"/>
                <w:i/>
                <w:iCs/>
                <w:color w:val="000000"/>
                <w:kern w:val="0"/>
                <w:szCs w:val="21"/>
              </w:rPr>
            </w:pPr>
            <w:r>
              <w:rPr>
                <w:rFonts w:hint="eastAsia" w:cs="宋体" w:asciiTheme="minorEastAsia" w:hAnsiTheme="minorEastAsia" w:eastAsiaTheme="minorEastAsia"/>
                <w:i/>
                <w:iCs/>
                <w:color w:val="000000"/>
                <w:kern w:val="0"/>
                <w:szCs w:val="21"/>
              </w:rPr>
              <w:t>优</w:t>
            </w:r>
          </w:p>
        </w:tc>
        <w:tc>
          <w:tcPr>
            <w:tcW w:w="339"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10</w:t>
            </w:r>
          </w:p>
        </w:tc>
        <w:tc>
          <w:tcPr>
            <w:tcW w:w="339"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10</w:t>
            </w:r>
          </w:p>
        </w:tc>
        <w:tc>
          <w:tcPr>
            <w:tcW w:w="872"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jc w:val="center"/>
        </w:trPr>
        <w:tc>
          <w:tcPr>
            <w:tcW w:w="335" w:type="pct"/>
            <w:vMerge w:val="continue"/>
            <w:vAlign w:val="center"/>
          </w:tcPr>
          <w:p>
            <w:pPr>
              <w:widowControl/>
              <w:jc w:val="left"/>
              <w:rPr>
                <w:rFonts w:cs="宋体" w:asciiTheme="minorEastAsia" w:hAnsiTheme="minorEastAsia" w:eastAsiaTheme="minorEastAsia"/>
                <w:color w:val="000000"/>
                <w:kern w:val="0"/>
                <w:szCs w:val="21"/>
              </w:rPr>
            </w:pPr>
          </w:p>
        </w:tc>
        <w:tc>
          <w:tcPr>
            <w:tcW w:w="609" w:type="pct"/>
            <w:vMerge w:val="continue"/>
            <w:vAlign w:val="center"/>
          </w:tcPr>
          <w:p>
            <w:pPr>
              <w:widowControl/>
              <w:jc w:val="left"/>
              <w:rPr>
                <w:rFonts w:cs="宋体" w:asciiTheme="minorEastAsia" w:hAnsiTheme="minorEastAsia" w:eastAsiaTheme="minorEastAsia"/>
                <w:color w:val="000000"/>
                <w:kern w:val="0"/>
                <w:szCs w:val="21"/>
              </w:rPr>
            </w:pPr>
          </w:p>
        </w:tc>
        <w:tc>
          <w:tcPr>
            <w:tcW w:w="388"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可持续发展指标</w:t>
            </w:r>
          </w:p>
        </w:tc>
        <w:tc>
          <w:tcPr>
            <w:tcW w:w="602"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促进项目持续推进</w:t>
            </w:r>
          </w:p>
        </w:tc>
        <w:tc>
          <w:tcPr>
            <w:tcW w:w="341"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定性</w:t>
            </w:r>
          </w:p>
        </w:tc>
        <w:tc>
          <w:tcPr>
            <w:tcW w:w="338"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优良中低差</w:t>
            </w:r>
          </w:p>
        </w:tc>
        <w:tc>
          <w:tcPr>
            <w:tcW w:w="339"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年</w:t>
            </w:r>
          </w:p>
        </w:tc>
        <w:tc>
          <w:tcPr>
            <w:tcW w:w="497" w:type="pct"/>
            <w:shd w:val="clear" w:color="auto" w:fill="auto"/>
            <w:vAlign w:val="center"/>
          </w:tcPr>
          <w:p>
            <w:pPr>
              <w:widowControl/>
              <w:jc w:val="center"/>
              <w:rPr>
                <w:rFonts w:cs="宋体" w:asciiTheme="minorEastAsia" w:hAnsiTheme="minorEastAsia" w:eastAsiaTheme="minorEastAsia"/>
                <w:i/>
                <w:iCs/>
                <w:color w:val="000000"/>
                <w:kern w:val="0"/>
                <w:szCs w:val="21"/>
              </w:rPr>
            </w:pPr>
            <w:r>
              <w:rPr>
                <w:rFonts w:hint="eastAsia" w:cs="宋体" w:asciiTheme="minorEastAsia" w:hAnsiTheme="minorEastAsia" w:eastAsiaTheme="minorEastAsia"/>
                <w:i/>
                <w:iCs/>
                <w:color w:val="000000"/>
                <w:kern w:val="0"/>
                <w:szCs w:val="21"/>
              </w:rPr>
              <w:t>优</w:t>
            </w:r>
          </w:p>
        </w:tc>
        <w:tc>
          <w:tcPr>
            <w:tcW w:w="339"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10</w:t>
            </w:r>
          </w:p>
        </w:tc>
        <w:tc>
          <w:tcPr>
            <w:tcW w:w="339"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10</w:t>
            </w:r>
          </w:p>
        </w:tc>
        <w:tc>
          <w:tcPr>
            <w:tcW w:w="872"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atLeast"/>
          <w:jc w:val="center"/>
        </w:trPr>
        <w:tc>
          <w:tcPr>
            <w:tcW w:w="335" w:type="pct"/>
            <w:vMerge w:val="continue"/>
            <w:vAlign w:val="center"/>
          </w:tcPr>
          <w:p>
            <w:pPr>
              <w:widowControl/>
              <w:jc w:val="left"/>
              <w:rPr>
                <w:rFonts w:cs="宋体" w:asciiTheme="minorEastAsia" w:hAnsiTheme="minorEastAsia" w:eastAsiaTheme="minorEastAsia"/>
                <w:color w:val="000000"/>
                <w:kern w:val="0"/>
                <w:szCs w:val="21"/>
              </w:rPr>
            </w:pPr>
          </w:p>
        </w:tc>
        <w:tc>
          <w:tcPr>
            <w:tcW w:w="609"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满意度指标</w:t>
            </w:r>
          </w:p>
        </w:tc>
        <w:tc>
          <w:tcPr>
            <w:tcW w:w="388"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服务对象满意度指标</w:t>
            </w:r>
          </w:p>
        </w:tc>
        <w:tc>
          <w:tcPr>
            <w:tcW w:w="602"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各区县、各用票单位满意度</w:t>
            </w:r>
          </w:p>
        </w:tc>
        <w:tc>
          <w:tcPr>
            <w:tcW w:w="341"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w:t>
            </w:r>
          </w:p>
        </w:tc>
        <w:tc>
          <w:tcPr>
            <w:tcW w:w="338"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98</w:t>
            </w:r>
          </w:p>
        </w:tc>
        <w:tc>
          <w:tcPr>
            <w:tcW w:w="339"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w:t>
            </w:r>
          </w:p>
        </w:tc>
        <w:tc>
          <w:tcPr>
            <w:tcW w:w="497" w:type="pct"/>
            <w:shd w:val="clear" w:color="auto" w:fill="auto"/>
            <w:vAlign w:val="center"/>
          </w:tcPr>
          <w:p>
            <w:pPr>
              <w:widowControl/>
              <w:jc w:val="center"/>
              <w:rPr>
                <w:rFonts w:cs="宋体" w:asciiTheme="minorEastAsia" w:hAnsiTheme="minorEastAsia" w:eastAsiaTheme="minorEastAsia"/>
                <w:i/>
                <w:iCs/>
                <w:color w:val="000000"/>
                <w:kern w:val="0"/>
                <w:szCs w:val="21"/>
              </w:rPr>
            </w:pPr>
            <w:r>
              <w:rPr>
                <w:rFonts w:hint="eastAsia" w:cs="宋体" w:asciiTheme="minorEastAsia" w:hAnsiTheme="minorEastAsia" w:eastAsiaTheme="minorEastAsia"/>
                <w:i/>
                <w:iCs/>
                <w:color w:val="000000"/>
                <w:kern w:val="0"/>
                <w:szCs w:val="21"/>
              </w:rPr>
              <w:t>98</w:t>
            </w:r>
          </w:p>
        </w:tc>
        <w:tc>
          <w:tcPr>
            <w:tcW w:w="339"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9</w:t>
            </w:r>
          </w:p>
        </w:tc>
        <w:tc>
          <w:tcPr>
            <w:tcW w:w="339"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10</w:t>
            </w:r>
          </w:p>
        </w:tc>
        <w:tc>
          <w:tcPr>
            <w:tcW w:w="872"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3449" w:type="pct"/>
            <w:gridSpan w:val="8"/>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合计</w:t>
            </w:r>
          </w:p>
        </w:tc>
        <w:tc>
          <w:tcPr>
            <w:tcW w:w="339"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100</w:t>
            </w:r>
          </w:p>
        </w:tc>
        <w:tc>
          <w:tcPr>
            <w:tcW w:w="339" w:type="pct"/>
            <w:shd w:val="clear" w:color="auto" w:fill="auto"/>
            <w:vAlign w:val="center"/>
          </w:tcPr>
          <w:p>
            <w:pPr>
              <w:widowControl/>
              <w:jc w:val="righ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100</w:t>
            </w:r>
          </w:p>
        </w:tc>
        <w:tc>
          <w:tcPr>
            <w:tcW w:w="872"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335"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评价结论</w:t>
            </w:r>
          </w:p>
        </w:tc>
        <w:tc>
          <w:tcPr>
            <w:tcW w:w="4665" w:type="pct"/>
            <w:gridSpan w:val="10"/>
            <w:shd w:val="clear" w:color="auto" w:fill="auto"/>
            <w:vAlign w:val="center"/>
          </w:tcPr>
          <w:p>
            <w:pPr>
              <w:widowControl/>
              <w:jc w:val="left"/>
              <w:rPr>
                <w:rFonts w:cs="宋体" w:asciiTheme="minorEastAsia" w:hAnsiTheme="minorEastAsia" w:eastAsiaTheme="minorEastAsia"/>
                <w:i/>
                <w:iCs/>
                <w:color w:val="000000"/>
                <w:kern w:val="0"/>
                <w:szCs w:val="21"/>
              </w:rPr>
            </w:pPr>
            <w:r>
              <w:rPr>
                <w:rFonts w:hint="eastAsia" w:cs="宋体" w:asciiTheme="minorEastAsia" w:hAnsiTheme="minorEastAsia" w:eastAsiaTheme="minorEastAsia"/>
                <w:i/>
                <w:iCs/>
                <w:color w:val="000000"/>
                <w:kern w:val="0"/>
                <w:szCs w:val="21"/>
              </w:rPr>
              <w:t>自评得分100分，圆满完成财政票据的发放、使用、核销等工作。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335"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存在问题</w:t>
            </w:r>
          </w:p>
        </w:tc>
        <w:tc>
          <w:tcPr>
            <w:tcW w:w="4665" w:type="pct"/>
            <w:gridSpan w:val="10"/>
            <w:shd w:val="clear" w:color="auto" w:fill="auto"/>
            <w:vAlign w:val="center"/>
          </w:tcPr>
          <w:p>
            <w:pPr>
              <w:widowControl/>
              <w:jc w:val="left"/>
              <w:rPr>
                <w:rFonts w:cs="宋体" w:asciiTheme="minorEastAsia" w:hAnsiTheme="minorEastAsia" w:eastAsiaTheme="minorEastAsia"/>
                <w:i/>
                <w:iCs/>
                <w:color w:val="000000"/>
                <w:kern w:val="0"/>
                <w:szCs w:val="21"/>
              </w:rPr>
            </w:pPr>
            <w:r>
              <w:rPr>
                <w:rFonts w:hint="eastAsia" w:cs="宋体" w:asciiTheme="minorEastAsia" w:hAnsiTheme="minorEastAsia" w:eastAsiaTheme="minorEastAsia"/>
                <w:i/>
                <w:iCs/>
                <w:color w:val="000000"/>
                <w:kern w:val="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335" w:type="pct"/>
            <w:tcBorders>
              <w:bottom w:val="single" w:color="auto" w:sz="4" w:space="0"/>
            </w:tcBorders>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改进措施</w:t>
            </w:r>
          </w:p>
        </w:tc>
        <w:tc>
          <w:tcPr>
            <w:tcW w:w="4665" w:type="pct"/>
            <w:gridSpan w:val="10"/>
            <w:tcBorders>
              <w:bottom w:val="single" w:color="auto" w:sz="4" w:space="0"/>
            </w:tcBorders>
            <w:shd w:val="clear" w:color="auto" w:fill="auto"/>
            <w:vAlign w:val="center"/>
          </w:tcPr>
          <w:p>
            <w:pPr>
              <w:widowControl/>
              <w:jc w:val="left"/>
              <w:rPr>
                <w:rFonts w:cs="宋体" w:asciiTheme="minorEastAsia" w:hAnsiTheme="minorEastAsia" w:eastAsiaTheme="minorEastAsia"/>
                <w:i/>
                <w:iCs/>
                <w:color w:val="000000"/>
                <w:kern w:val="0"/>
                <w:szCs w:val="21"/>
              </w:rPr>
            </w:pPr>
            <w:r>
              <w:rPr>
                <w:rFonts w:hint="eastAsia" w:cs="宋体" w:asciiTheme="minorEastAsia" w:hAnsiTheme="minorEastAsia" w:eastAsiaTheme="minorEastAsia"/>
                <w:i/>
                <w:iCs/>
                <w:color w:val="000000"/>
                <w:kern w:val="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2275" w:type="pct"/>
            <w:gridSpan w:val="5"/>
            <w:tcBorders>
              <w:bottom w:val="single" w:color="auto" w:sz="4" w:space="0"/>
            </w:tcBorders>
            <w:shd w:val="clear" w:color="auto" w:fill="auto"/>
            <w:vAlign w:val="center"/>
          </w:tcPr>
          <w:p>
            <w:pPr>
              <w:widowControl/>
              <w:jc w:val="left"/>
              <w:rPr>
                <w:rFonts w:cs="Courier New" w:asciiTheme="minorEastAsia" w:hAnsiTheme="minorEastAsia" w:eastAsiaTheme="minorEastAsia"/>
                <w:color w:val="000000"/>
                <w:kern w:val="0"/>
                <w:szCs w:val="21"/>
              </w:rPr>
            </w:pPr>
            <w:r>
              <w:rPr>
                <w:rFonts w:cs="Courier New" w:asciiTheme="minorEastAsia" w:hAnsiTheme="minorEastAsia" w:eastAsiaTheme="minorEastAsia"/>
                <w:color w:val="000000"/>
                <w:kern w:val="0"/>
                <w:szCs w:val="21"/>
              </w:rPr>
              <w:t>项目负责人：</w:t>
            </w:r>
          </w:p>
        </w:tc>
        <w:tc>
          <w:tcPr>
            <w:tcW w:w="2725" w:type="pct"/>
            <w:gridSpan w:val="6"/>
            <w:tcBorders>
              <w:bottom w:val="single" w:color="auto" w:sz="4" w:space="0"/>
            </w:tcBorders>
            <w:shd w:val="clear" w:color="auto" w:fill="auto"/>
            <w:vAlign w:val="center"/>
          </w:tcPr>
          <w:p>
            <w:pPr>
              <w:widowControl/>
              <w:jc w:val="left"/>
              <w:rPr>
                <w:rFonts w:cs="Courier New" w:asciiTheme="minorEastAsia" w:hAnsiTheme="minorEastAsia" w:eastAsiaTheme="minorEastAsia"/>
                <w:color w:val="000000"/>
                <w:kern w:val="0"/>
                <w:szCs w:val="21"/>
              </w:rPr>
            </w:pPr>
            <w:r>
              <w:rPr>
                <w:rFonts w:cs="Courier New" w:asciiTheme="minorEastAsia" w:hAnsiTheme="minorEastAsia" w:eastAsiaTheme="minorEastAsia"/>
                <w:color w:val="000000"/>
                <w:kern w:val="0"/>
                <w:szCs w:val="21"/>
              </w:rPr>
              <w:t>财务负责人：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35" w:type="pct"/>
            <w:tcBorders>
              <w:top w:val="single" w:color="auto" w:sz="4" w:space="0"/>
              <w:left w:val="nil"/>
              <w:bottom w:val="nil"/>
              <w:right w:val="nil"/>
            </w:tcBorders>
            <w:shd w:val="clear" w:color="auto" w:fill="auto"/>
            <w:vAlign w:val="center"/>
          </w:tcPr>
          <w:p>
            <w:pPr>
              <w:widowControl/>
              <w:jc w:val="left"/>
              <w:rPr>
                <w:rFonts w:cs="宋体" w:asciiTheme="minorEastAsia" w:hAnsiTheme="minorEastAsia" w:eastAsiaTheme="minorEastAsia"/>
                <w:kern w:val="0"/>
                <w:szCs w:val="21"/>
              </w:rPr>
            </w:pPr>
          </w:p>
        </w:tc>
        <w:tc>
          <w:tcPr>
            <w:tcW w:w="609" w:type="pct"/>
            <w:tcBorders>
              <w:top w:val="single" w:color="auto" w:sz="4" w:space="0"/>
              <w:left w:val="nil"/>
              <w:bottom w:val="nil"/>
              <w:right w:val="nil"/>
            </w:tcBorders>
            <w:shd w:val="clear" w:color="auto" w:fill="auto"/>
            <w:vAlign w:val="center"/>
          </w:tcPr>
          <w:p>
            <w:pPr>
              <w:widowControl/>
              <w:jc w:val="left"/>
              <w:rPr>
                <w:rFonts w:cs="宋体" w:asciiTheme="minorEastAsia" w:hAnsiTheme="minorEastAsia" w:eastAsiaTheme="minorEastAsia"/>
                <w:kern w:val="0"/>
                <w:szCs w:val="21"/>
              </w:rPr>
            </w:pPr>
          </w:p>
        </w:tc>
        <w:tc>
          <w:tcPr>
            <w:tcW w:w="388" w:type="pct"/>
            <w:tcBorders>
              <w:top w:val="single" w:color="auto" w:sz="4" w:space="0"/>
              <w:left w:val="nil"/>
              <w:bottom w:val="nil"/>
              <w:right w:val="nil"/>
            </w:tcBorders>
            <w:shd w:val="clear" w:color="auto" w:fill="auto"/>
            <w:vAlign w:val="center"/>
          </w:tcPr>
          <w:p>
            <w:pPr>
              <w:widowControl/>
              <w:jc w:val="left"/>
              <w:rPr>
                <w:rFonts w:cs="宋体" w:asciiTheme="minorEastAsia" w:hAnsiTheme="minorEastAsia" w:eastAsiaTheme="minorEastAsia"/>
                <w:kern w:val="0"/>
                <w:szCs w:val="21"/>
              </w:rPr>
            </w:pPr>
          </w:p>
        </w:tc>
        <w:tc>
          <w:tcPr>
            <w:tcW w:w="602" w:type="pct"/>
            <w:tcBorders>
              <w:top w:val="single" w:color="auto" w:sz="4" w:space="0"/>
              <w:left w:val="nil"/>
              <w:bottom w:val="nil"/>
              <w:right w:val="nil"/>
            </w:tcBorders>
            <w:shd w:val="clear" w:color="auto" w:fill="auto"/>
            <w:vAlign w:val="center"/>
          </w:tcPr>
          <w:p>
            <w:pPr>
              <w:widowControl/>
              <w:jc w:val="left"/>
              <w:rPr>
                <w:rFonts w:cs="宋体" w:asciiTheme="minorEastAsia" w:hAnsiTheme="minorEastAsia" w:eastAsiaTheme="minorEastAsia"/>
                <w:kern w:val="0"/>
                <w:szCs w:val="21"/>
              </w:rPr>
            </w:pPr>
          </w:p>
        </w:tc>
        <w:tc>
          <w:tcPr>
            <w:tcW w:w="341" w:type="pct"/>
            <w:tcBorders>
              <w:top w:val="single" w:color="auto" w:sz="4" w:space="0"/>
              <w:left w:val="nil"/>
              <w:bottom w:val="nil"/>
              <w:right w:val="nil"/>
            </w:tcBorders>
            <w:shd w:val="clear" w:color="auto" w:fill="auto"/>
            <w:vAlign w:val="center"/>
          </w:tcPr>
          <w:p>
            <w:pPr>
              <w:widowControl/>
              <w:jc w:val="left"/>
              <w:rPr>
                <w:rFonts w:cs="宋体" w:asciiTheme="minorEastAsia" w:hAnsiTheme="minorEastAsia" w:eastAsiaTheme="minorEastAsia"/>
                <w:kern w:val="0"/>
                <w:szCs w:val="21"/>
              </w:rPr>
            </w:pPr>
          </w:p>
        </w:tc>
        <w:tc>
          <w:tcPr>
            <w:tcW w:w="338" w:type="pct"/>
            <w:tcBorders>
              <w:top w:val="single" w:color="auto" w:sz="4" w:space="0"/>
              <w:left w:val="nil"/>
              <w:bottom w:val="nil"/>
              <w:right w:val="nil"/>
            </w:tcBorders>
            <w:shd w:val="clear" w:color="auto" w:fill="auto"/>
            <w:vAlign w:val="center"/>
          </w:tcPr>
          <w:p>
            <w:pPr>
              <w:widowControl/>
              <w:jc w:val="left"/>
              <w:rPr>
                <w:rFonts w:cs="宋体" w:asciiTheme="minorEastAsia" w:hAnsiTheme="minorEastAsia" w:eastAsiaTheme="minorEastAsia"/>
                <w:kern w:val="0"/>
                <w:szCs w:val="21"/>
              </w:rPr>
            </w:pPr>
          </w:p>
        </w:tc>
        <w:tc>
          <w:tcPr>
            <w:tcW w:w="339" w:type="pct"/>
            <w:tcBorders>
              <w:top w:val="single" w:color="auto" w:sz="4" w:space="0"/>
              <w:left w:val="nil"/>
              <w:bottom w:val="nil"/>
              <w:right w:val="nil"/>
            </w:tcBorders>
            <w:shd w:val="clear" w:color="auto" w:fill="auto"/>
            <w:vAlign w:val="center"/>
          </w:tcPr>
          <w:p>
            <w:pPr>
              <w:widowControl/>
              <w:jc w:val="left"/>
              <w:rPr>
                <w:rFonts w:cs="宋体" w:asciiTheme="minorEastAsia" w:hAnsiTheme="minorEastAsia" w:eastAsiaTheme="minorEastAsia"/>
                <w:kern w:val="0"/>
                <w:szCs w:val="21"/>
              </w:rPr>
            </w:pPr>
          </w:p>
        </w:tc>
        <w:tc>
          <w:tcPr>
            <w:tcW w:w="497" w:type="pct"/>
            <w:tcBorders>
              <w:top w:val="single" w:color="auto" w:sz="4" w:space="0"/>
              <w:left w:val="nil"/>
              <w:bottom w:val="nil"/>
              <w:right w:val="nil"/>
            </w:tcBorders>
            <w:shd w:val="clear" w:color="auto" w:fill="auto"/>
            <w:vAlign w:val="center"/>
          </w:tcPr>
          <w:p>
            <w:pPr>
              <w:widowControl/>
              <w:jc w:val="left"/>
              <w:rPr>
                <w:rFonts w:cs="宋体" w:asciiTheme="minorEastAsia" w:hAnsiTheme="minorEastAsia" w:eastAsiaTheme="minorEastAsia"/>
                <w:kern w:val="0"/>
                <w:szCs w:val="21"/>
              </w:rPr>
            </w:pPr>
          </w:p>
        </w:tc>
        <w:tc>
          <w:tcPr>
            <w:tcW w:w="339" w:type="pct"/>
            <w:tcBorders>
              <w:top w:val="single" w:color="auto" w:sz="4" w:space="0"/>
              <w:left w:val="nil"/>
              <w:bottom w:val="nil"/>
              <w:right w:val="nil"/>
            </w:tcBorders>
            <w:shd w:val="clear" w:color="auto" w:fill="auto"/>
            <w:vAlign w:val="center"/>
          </w:tcPr>
          <w:p>
            <w:pPr>
              <w:widowControl/>
              <w:jc w:val="left"/>
              <w:rPr>
                <w:rFonts w:cs="宋体" w:asciiTheme="minorEastAsia" w:hAnsiTheme="minorEastAsia" w:eastAsiaTheme="minorEastAsia"/>
                <w:kern w:val="0"/>
                <w:szCs w:val="21"/>
              </w:rPr>
            </w:pPr>
          </w:p>
        </w:tc>
        <w:tc>
          <w:tcPr>
            <w:tcW w:w="339" w:type="pct"/>
            <w:tcBorders>
              <w:top w:val="single" w:color="auto" w:sz="4" w:space="0"/>
              <w:left w:val="nil"/>
              <w:bottom w:val="nil"/>
              <w:right w:val="nil"/>
            </w:tcBorders>
            <w:shd w:val="clear" w:color="auto" w:fill="auto"/>
            <w:vAlign w:val="center"/>
          </w:tcPr>
          <w:p>
            <w:pPr>
              <w:widowControl/>
              <w:jc w:val="left"/>
              <w:rPr>
                <w:rFonts w:cs="宋体" w:asciiTheme="minorEastAsia" w:hAnsiTheme="minorEastAsia" w:eastAsiaTheme="minorEastAsia"/>
                <w:kern w:val="0"/>
                <w:szCs w:val="21"/>
              </w:rPr>
            </w:pPr>
          </w:p>
        </w:tc>
        <w:tc>
          <w:tcPr>
            <w:tcW w:w="872" w:type="pct"/>
            <w:tcBorders>
              <w:top w:val="single" w:color="auto" w:sz="4" w:space="0"/>
              <w:left w:val="nil"/>
              <w:bottom w:val="nil"/>
              <w:right w:val="nil"/>
            </w:tcBorders>
            <w:shd w:val="clear" w:color="auto" w:fill="auto"/>
            <w:vAlign w:val="center"/>
          </w:tcPr>
          <w:p>
            <w:pPr>
              <w:widowControl/>
              <w:jc w:val="left"/>
              <w:rPr>
                <w:rFonts w:cs="宋体" w:asciiTheme="minorEastAsia" w:hAnsiTheme="minorEastAsia"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5000" w:type="pct"/>
            <w:gridSpan w:val="11"/>
            <w:tcBorders>
              <w:top w:val="nil"/>
              <w:left w:val="nil"/>
              <w:bottom w:val="single" w:color="auto" w:sz="4" w:space="0"/>
              <w:right w:val="nil"/>
            </w:tcBorders>
            <w:shd w:val="clear" w:color="auto" w:fill="auto"/>
            <w:vAlign w:val="center"/>
          </w:tcPr>
          <w:p>
            <w:pPr>
              <w:pStyle w:val="2"/>
              <w:spacing w:before="93"/>
              <w:jc w:val="center"/>
              <w:rPr>
                <w:rFonts w:cs="宋体" w:asciiTheme="minorEastAsia" w:hAnsiTheme="minorEastAsia" w:eastAsiaTheme="minorEastAsia"/>
                <w:b/>
                <w:bCs/>
                <w:color w:val="000000"/>
                <w:szCs w:val="21"/>
              </w:rPr>
            </w:pPr>
            <w:r>
              <w:rPr>
                <w:rFonts w:hint="eastAsia" w:ascii="方正小标宋简体" w:eastAsia="方正小标宋简体"/>
                <w:sz w:val="36"/>
                <w:szCs w:val="36"/>
              </w:rPr>
              <w:t>部门预算项目支出绩效自评表（2024年度）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944" w:type="pct"/>
            <w:gridSpan w:val="2"/>
            <w:tcBorders>
              <w:top w:val="single" w:color="auto" w:sz="4" w:space="0"/>
            </w:tcBorders>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项目名称</w:t>
            </w:r>
          </w:p>
        </w:tc>
        <w:tc>
          <w:tcPr>
            <w:tcW w:w="4056" w:type="pct"/>
            <w:gridSpan w:val="9"/>
            <w:tcBorders>
              <w:top w:val="single" w:color="auto" w:sz="4" w:space="0"/>
            </w:tcBorders>
            <w:shd w:val="clear" w:color="auto" w:fill="auto"/>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51090022T000004681943-票据技术审核经费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jc w:val="center"/>
        </w:trPr>
        <w:tc>
          <w:tcPr>
            <w:tcW w:w="944" w:type="pct"/>
            <w:gridSpan w:val="2"/>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主管部门</w:t>
            </w:r>
          </w:p>
        </w:tc>
        <w:tc>
          <w:tcPr>
            <w:tcW w:w="2009" w:type="pct"/>
            <w:gridSpan w:val="5"/>
            <w:shd w:val="clear" w:color="auto" w:fill="auto"/>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遂宁市财政局部门</w:t>
            </w:r>
          </w:p>
        </w:tc>
        <w:tc>
          <w:tcPr>
            <w:tcW w:w="497" w:type="pct"/>
            <w:shd w:val="clear" w:color="auto" w:fill="auto"/>
            <w:vAlign w:val="center"/>
          </w:tcPr>
          <w:p>
            <w:pPr>
              <w:widowControl/>
              <w:jc w:val="center"/>
              <w:rPr>
                <w:rFonts w:cs="Courier New" w:asciiTheme="minorEastAsia" w:hAnsiTheme="minorEastAsia" w:eastAsiaTheme="minorEastAsia"/>
                <w:color w:val="000000"/>
                <w:kern w:val="0"/>
                <w:szCs w:val="21"/>
              </w:rPr>
            </w:pPr>
            <w:r>
              <w:rPr>
                <w:rFonts w:cs="Courier New" w:asciiTheme="minorEastAsia" w:hAnsiTheme="minorEastAsia" w:eastAsiaTheme="minorEastAsia"/>
                <w:color w:val="000000"/>
                <w:kern w:val="0"/>
                <w:szCs w:val="21"/>
              </w:rPr>
              <w:t>实施单位 （盖章）</w:t>
            </w:r>
          </w:p>
        </w:tc>
        <w:tc>
          <w:tcPr>
            <w:tcW w:w="1551" w:type="pct"/>
            <w:gridSpan w:val="3"/>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遂宁市票据监管中心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335" w:type="pct"/>
            <w:vMerge w:val="restart"/>
            <w:shd w:val="clear" w:color="auto" w:fill="auto"/>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项目基本情况</w:t>
            </w:r>
          </w:p>
        </w:tc>
        <w:tc>
          <w:tcPr>
            <w:tcW w:w="609" w:type="pct"/>
            <w:vMerge w:val="restart"/>
            <w:shd w:val="clear" w:color="auto" w:fill="auto"/>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1.项目年度目标完成情况</w:t>
            </w:r>
          </w:p>
        </w:tc>
        <w:tc>
          <w:tcPr>
            <w:tcW w:w="2009" w:type="pct"/>
            <w:gridSpan w:val="5"/>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项目年度目标</w:t>
            </w:r>
          </w:p>
        </w:tc>
        <w:tc>
          <w:tcPr>
            <w:tcW w:w="2047" w:type="pct"/>
            <w:gridSpan w:val="4"/>
            <w:shd w:val="clear" w:color="auto" w:fill="auto"/>
            <w:vAlign w:val="center"/>
          </w:tcPr>
          <w:p>
            <w:pPr>
              <w:widowControl/>
              <w:jc w:val="center"/>
              <w:rPr>
                <w:rFonts w:cs="Courier New" w:asciiTheme="minorEastAsia" w:hAnsiTheme="minorEastAsia" w:eastAsiaTheme="minorEastAsia"/>
                <w:color w:val="000000"/>
                <w:kern w:val="0"/>
                <w:szCs w:val="21"/>
              </w:rPr>
            </w:pPr>
            <w:r>
              <w:rPr>
                <w:rFonts w:cs="Courier New" w:asciiTheme="minorEastAsia" w:hAnsiTheme="minorEastAsia" w:eastAsiaTheme="minorEastAsia"/>
                <w:color w:val="000000"/>
                <w:kern w:val="0"/>
                <w:szCs w:val="21"/>
              </w:rPr>
              <w:t>年度目标完成情况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3" w:hRule="atLeast"/>
          <w:jc w:val="center"/>
        </w:trPr>
        <w:tc>
          <w:tcPr>
            <w:tcW w:w="335" w:type="pct"/>
            <w:vMerge w:val="continue"/>
            <w:vAlign w:val="center"/>
          </w:tcPr>
          <w:p>
            <w:pPr>
              <w:widowControl/>
              <w:jc w:val="left"/>
              <w:rPr>
                <w:rFonts w:cs="宋体" w:asciiTheme="minorEastAsia" w:hAnsiTheme="minorEastAsia" w:eastAsiaTheme="minorEastAsia"/>
                <w:color w:val="000000"/>
                <w:kern w:val="0"/>
                <w:szCs w:val="21"/>
              </w:rPr>
            </w:pPr>
          </w:p>
        </w:tc>
        <w:tc>
          <w:tcPr>
            <w:tcW w:w="609" w:type="pct"/>
            <w:vMerge w:val="continue"/>
            <w:vAlign w:val="center"/>
          </w:tcPr>
          <w:p>
            <w:pPr>
              <w:widowControl/>
              <w:jc w:val="left"/>
              <w:rPr>
                <w:rFonts w:cs="宋体" w:asciiTheme="minorEastAsia" w:hAnsiTheme="minorEastAsia" w:eastAsiaTheme="minorEastAsia"/>
                <w:color w:val="000000"/>
                <w:kern w:val="0"/>
                <w:szCs w:val="21"/>
              </w:rPr>
            </w:pPr>
          </w:p>
        </w:tc>
        <w:tc>
          <w:tcPr>
            <w:tcW w:w="2009" w:type="pct"/>
            <w:gridSpan w:val="5"/>
            <w:shd w:val="clear" w:color="auto" w:fill="auto"/>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保障市本级所有用票单位财政票据正常使用，负责财政票据计划上报、领购、发放、使用、核销、销毁、监督管理及稽查等工作。</w:t>
            </w:r>
          </w:p>
        </w:tc>
        <w:tc>
          <w:tcPr>
            <w:tcW w:w="2047" w:type="pct"/>
            <w:gridSpan w:val="4"/>
            <w:shd w:val="clear" w:color="auto" w:fill="auto"/>
            <w:vAlign w:val="center"/>
          </w:tcPr>
          <w:p>
            <w:pPr>
              <w:widowControl/>
              <w:jc w:val="left"/>
              <w:rPr>
                <w:rFonts w:cs="Courier New" w:asciiTheme="minorEastAsia" w:hAnsiTheme="minorEastAsia" w:eastAsiaTheme="minorEastAsia"/>
                <w:color w:val="000000"/>
                <w:kern w:val="0"/>
                <w:szCs w:val="21"/>
              </w:rPr>
            </w:pPr>
            <w:r>
              <w:rPr>
                <w:rFonts w:cs="Courier New" w:asciiTheme="minorEastAsia" w:hAnsiTheme="minorEastAsia" w:eastAsiaTheme="minorEastAsia"/>
                <w:color w:val="000000"/>
                <w:kern w:val="0"/>
                <w:szCs w:val="21"/>
              </w:rPr>
              <w:t>2024年较好完成财政票据技术审核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atLeast"/>
          <w:jc w:val="center"/>
        </w:trPr>
        <w:tc>
          <w:tcPr>
            <w:tcW w:w="335" w:type="pct"/>
            <w:vMerge w:val="continue"/>
            <w:vAlign w:val="center"/>
          </w:tcPr>
          <w:p>
            <w:pPr>
              <w:widowControl/>
              <w:jc w:val="left"/>
              <w:rPr>
                <w:rFonts w:cs="宋体" w:asciiTheme="minorEastAsia" w:hAnsiTheme="minorEastAsia" w:eastAsiaTheme="minorEastAsia"/>
                <w:color w:val="000000"/>
                <w:kern w:val="0"/>
                <w:szCs w:val="21"/>
              </w:rPr>
            </w:pPr>
          </w:p>
        </w:tc>
        <w:tc>
          <w:tcPr>
            <w:tcW w:w="609" w:type="pct"/>
            <w:shd w:val="clear" w:color="auto" w:fill="auto"/>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2.项目实施内容及过程概述</w:t>
            </w:r>
          </w:p>
        </w:tc>
        <w:tc>
          <w:tcPr>
            <w:tcW w:w="4056" w:type="pct"/>
            <w:gridSpan w:val="9"/>
            <w:shd w:val="clear" w:color="auto" w:fill="auto"/>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完成财政电子、纸质票据的发放、使用、核销等工作，实现电子票据全覆盖，减少纸质票据使用量。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335" w:type="pct"/>
            <w:vMerge w:val="restar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预算执行情况（10分）</w:t>
            </w:r>
          </w:p>
        </w:tc>
        <w:tc>
          <w:tcPr>
            <w:tcW w:w="609"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年度预算数（万元）</w:t>
            </w:r>
          </w:p>
        </w:tc>
        <w:tc>
          <w:tcPr>
            <w:tcW w:w="388"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年初预算</w:t>
            </w:r>
          </w:p>
        </w:tc>
        <w:tc>
          <w:tcPr>
            <w:tcW w:w="602"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调整后预算数</w:t>
            </w:r>
          </w:p>
        </w:tc>
        <w:tc>
          <w:tcPr>
            <w:tcW w:w="1019" w:type="pct"/>
            <w:gridSpan w:val="3"/>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预算执行数</w:t>
            </w:r>
          </w:p>
        </w:tc>
        <w:tc>
          <w:tcPr>
            <w:tcW w:w="497"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预算执行率</w:t>
            </w:r>
          </w:p>
        </w:tc>
        <w:tc>
          <w:tcPr>
            <w:tcW w:w="339"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权重</w:t>
            </w:r>
          </w:p>
        </w:tc>
        <w:tc>
          <w:tcPr>
            <w:tcW w:w="339"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得分</w:t>
            </w:r>
          </w:p>
        </w:tc>
        <w:tc>
          <w:tcPr>
            <w:tcW w:w="872"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335" w:type="pct"/>
            <w:vMerge w:val="continue"/>
            <w:vAlign w:val="center"/>
          </w:tcPr>
          <w:p>
            <w:pPr>
              <w:widowControl/>
              <w:jc w:val="left"/>
              <w:rPr>
                <w:rFonts w:cs="宋体" w:asciiTheme="minorEastAsia" w:hAnsiTheme="minorEastAsia" w:eastAsiaTheme="minorEastAsia"/>
                <w:color w:val="000000"/>
                <w:kern w:val="0"/>
                <w:szCs w:val="21"/>
              </w:rPr>
            </w:pPr>
          </w:p>
        </w:tc>
        <w:tc>
          <w:tcPr>
            <w:tcW w:w="609"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总额</w:t>
            </w:r>
          </w:p>
        </w:tc>
        <w:tc>
          <w:tcPr>
            <w:tcW w:w="388"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22.00</w:t>
            </w:r>
          </w:p>
        </w:tc>
        <w:tc>
          <w:tcPr>
            <w:tcW w:w="602"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22.00</w:t>
            </w:r>
          </w:p>
        </w:tc>
        <w:tc>
          <w:tcPr>
            <w:tcW w:w="1019" w:type="pct"/>
            <w:gridSpan w:val="3"/>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22.00</w:t>
            </w:r>
          </w:p>
        </w:tc>
        <w:tc>
          <w:tcPr>
            <w:tcW w:w="497"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100.00%</w:t>
            </w:r>
          </w:p>
        </w:tc>
        <w:tc>
          <w:tcPr>
            <w:tcW w:w="339"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10</w:t>
            </w:r>
          </w:p>
        </w:tc>
        <w:tc>
          <w:tcPr>
            <w:tcW w:w="339"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10</w:t>
            </w:r>
          </w:p>
        </w:tc>
        <w:tc>
          <w:tcPr>
            <w:tcW w:w="872" w:type="pct"/>
            <w:vMerge w:val="restart"/>
            <w:shd w:val="clear" w:color="auto" w:fill="auto"/>
            <w:vAlign w:val="center"/>
          </w:tcPr>
          <w:p>
            <w:pPr>
              <w:widowControl/>
              <w:jc w:val="left"/>
              <w:rPr>
                <w:rFonts w:cs="Courier New" w:asciiTheme="minorEastAsia" w:hAnsiTheme="minorEastAsia" w:eastAsiaTheme="minorEastAsia"/>
                <w:i/>
                <w:i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335" w:type="pct"/>
            <w:vMerge w:val="continue"/>
            <w:vAlign w:val="center"/>
          </w:tcPr>
          <w:p>
            <w:pPr>
              <w:widowControl/>
              <w:jc w:val="left"/>
              <w:rPr>
                <w:rFonts w:cs="宋体" w:asciiTheme="minorEastAsia" w:hAnsiTheme="minorEastAsia" w:eastAsiaTheme="minorEastAsia"/>
                <w:color w:val="000000"/>
                <w:kern w:val="0"/>
                <w:szCs w:val="21"/>
              </w:rPr>
            </w:pPr>
          </w:p>
        </w:tc>
        <w:tc>
          <w:tcPr>
            <w:tcW w:w="609"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其中：财政资金</w:t>
            </w:r>
          </w:p>
        </w:tc>
        <w:tc>
          <w:tcPr>
            <w:tcW w:w="388"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22.00</w:t>
            </w:r>
          </w:p>
        </w:tc>
        <w:tc>
          <w:tcPr>
            <w:tcW w:w="602"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22.00</w:t>
            </w:r>
          </w:p>
        </w:tc>
        <w:tc>
          <w:tcPr>
            <w:tcW w:w="1019" w:type="pct"/>
            <w:gridSpan w:val="3"/>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22.00</w:t>
            </w:r>
          </w:p>
        </w:tc>
        <w:tc>
          <w:tcPr>
            <w:tcW w:w="497"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100.00%</w:t>
            </w:r>
          </w:p>
        </w:tc>
        <w:tc>
          <w:tcPr>
            <w:tcW w:w="339"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w:t>
            </w:r>
          </w:p>
        </w:tc>
        <w:tc>
          <w:tcPr>
            <w:tcW w:w="339"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w:t>
            </w:r>
          </w:p>
        </w:tc>
        <w:tc>
          <w:tcPr>
            <w:tcW w:w="872" w:type="pct"/>
            <w:vMerge w:val="continue"/>
            <w:vAlign w:val="center"/>
          </w:tcPr>
          <w:p>
            <w:pPr>
              <w:widowControl/>
              <w:jc w:val="left"/>
              <w:rPr>
                <w:rFonts w:cs="Courier New" w:asciiTheme="minorEastAsia" w:hAnsiTheme="minorEastAsia" w:eastAsiaTheme="minorEastAsia"/>
                <w:i/>
                <w:i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335" w:type="pct"/>
            <w:vMerge w:val="continue"/>
            <w:vAlign w:val="center"/>
          </w:tcPr>
          <w:p>
            <w:pPr>
              <w:widowControl/>
              <w:jc w:val="left"/>
              <w:rPr>
                <w:rFonts w:cs="宋体" w:asciiTheme="minorEastAsia" w:hAnsiTheme="minorEastAsia" w:eastAsiaTheme="minorEastAsia"/>
                <w:color w:val="000000"/>
                <w:kern w:val="0"/>
                <w:szCs w:val="21"/>
              </w:rPr>
            </w:pPr>
          </w:p>
        </w:tc>
        <w:tc>
          <w:tcPr>
            <w:tcW w:w="609"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财政专户管理资金</w:t>
            </w:r>
          </w:p>
        </w:tc>
        <w:tc>
          <w:tcPr>
            <w:tcW w:w="388"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0.00</w:t>
            </w:r>
          </w:p>
        </w:tc>
        <w:tc>
          <w:tcPr>
            <w:tcW w:w="602"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0.00</w:t>
            </w:r>
          </w:p>
        </w:tc>
        <w:tc>
          <w:tcPr>
            <w:tcW w:w="1019" w:type="pct"/>
            <w:gridSpan w:val="3"/>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0.00</w:t>
            </w:r>
          </w:p>
        </w:tc>
        <w:tc>
          <w:tcPr>
            <w:tcW w:w="497"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0.00%</w:t>
            </w:r>
          </w:p>
        </w:tc>
        <w:tc>
          <w:tcPr>
            <w:tcW w:w="339"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w:t>
            </w:r>
          </w:p>
        </w:tc>
        <w:tc>
          <w:tcPr>
            <w:tcW w:w="339"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w:t>
            </w:r>
          </w:p>
        </w:tc>
        <w:tc>
          <w:tcPr>
            <w:tcW w:w="872" w:type="pct"/>
            <w:vMerge w:val="continue"/>
            <w:vAlign w:val="center"/>
          </w:tcPr>
          <w:p>
            <w:pPr>
              <w:widowControl/>
              <w:jc w:val="left"/>
              <w:rPr>
                <w:rFonts w:cs="Courier New" w:asciiTheme="minorEastAsia" w:hAnsiTheme="minorEastAsia" w:eastAsiaTheme="minorEastAsia"/>
                <w:i/>
                <w:i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335" w:type="pct"/>
            <w:vMerge w:val="continue"/>
            <w:vAlign w:val="center"/>
          </w:tcPr>
          <w:p>
            <w:pPr>
              <w:widowControl/>
              <w:jc w:val="left"/>
              <w:rPr>
                <w:rFonts w:cs="宋体" w:asciiTheme="minorEastAsia" w:hAnsiTheme="minorEastAsia" w:eastAsiaTheme="minorEastAsia"/>
                <w:color w:val="000000"/>
                <w:kern w:val="0"/>
                <w:szCs w:val="21"/>
              </w:rPr>
            </w:pPr>
          </w:p>
        </w:tc>
        <w:tc>
          <w:tcPr>
            <w:tcW w:w="609"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单位资金</w:t>
            </w:r>
          </w:p>
        </w:tc>
        <w:tc>
          <w:tcPr>
            <w:tcW w:w="388"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0.00</w:t>
            </w:r>
          </w:p>
        </w:tc>
        <w:tc>
          <w:tcPr>
            <w:tcW w:w="602"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0.00</w:t>
            </w:r>
          </w:p>
        </w:tc>
        <w:tc>
          <w:tcPr>
            <w:tcW w:w="1019" w:type="pct"/>
            <w:gridSpan w:val="3"/>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0.00</w:t>
            </w:r>
          </w:p>
        </w:tc>
        <w:tc>
          <w:tcPr>
            <w:tcW w:w="497"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0.00%</w:t>
            </w:r>
          </w:p>
        </w:tc>
        <w:tc>
          <w:tcPr>
            <w:tcW w:w="339"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w:t>
            </w:r>
          </w:p>
        </w:tc>
        <w:tc>
          <w:tcPr>
            <w:tcW w:w="339"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w:t>
            </w:r>
          </w:p>
        </w:tc>
        <w:tc>
          <w:tcPr>
            <w:tcW w:w="872" w:type="pct"/>
            <w:vMerge w:val="continue"/>
            <w:vAlign w:val="center"/>
          </w:tcPr>
          <w:p>
            <w:pPr>
              <w:widowControl/>
              <w:jc w:val="left"/>
              <w:rPr>
                <w:rFonts w:cs="Courier New" w:asciiTheme="minorEastAsia" w:hAnsiTheme="minorEastAsia" w:eastAsiaTheme="minorEastAsia"/>
                <w:i/>
                <w:i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335" w:type="pct"/>
            <w:vMerge w:val="continue"/>
            <w:vAlign w:val="center"/>
          </w:tcPr>
          <w:p>
            <w:pPr>
              <w:widowControl/>
              <w:jc w:val="left"/>
              <w:rPr>
                <w:rFonts w:cs="宋体" w:asciiTheme="minorEastAsia" w:hAnsiTheme="minorEastAsia" w:eastAsiaTheme="minorEastAsia"/>
                <w:color w:val="000000"/>
                <w:kern w:val="0"/>
                <w:szCs w:val="21"/>
              </w:rPr>
            </w:pPr>
          </w:p>
        </w:tc>
        <w:tc>
          <w:tcPr>
            <w:tcW w:w="609"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其他资金</w:t>
            </w:r>
          </w:p>
        </w:tc>
        <w:tc>
          <w:tcPr>
            <w:tcW w:w="388" w:type="pct"/>
            <w:shd w:val="clear" w:color="auto" w:fill="auto"/>
            <w:vAlign w:val="center"/>
          </w:tcPr>
          <w:p>
            <w:pPr>
              <w:widowControl/>
              <w:jc w:val="center"/>
              <w:rPr>
                <w:rFonts w:cs="宋体" w:asciiTheme="minorEastAsia" w:hAnsiTheme="minorEastAsia" w:eastAsiaTheme="minorEastAsia"/>
                <w:i/>
                <w:iCs/>
                <w:color w:val="000000"/>
                <w:kern w:val="0"/>
                <w:szCs w:val="21"/>
              </w:rPr>
            </w:pPr>
            <w:r>
              <w:rPr>
                <w:rFonts w:hint="eastAsia" w:cs="宋体" w:asciiTheme="minorEastAsia" w:hAnsiTheme="minorEastAsia" w:eastAsiaTheme="minorEastAsia"/>
                <w:i/>
                <w:iCs/>
                <w:color w:val="000000"/>
                <w:kern w:val="0"/>
                <w:szCs w:val="21"/>
              </w:rPr>
              <w:t>　</w:t>
            </w:r>
          </w:p>
        </w:tc>
        <w:tc>
          <w:tcPr>
            <w:tcW w:w="602" w:type="pct"/>
            <w:shd w:val="clear" w:color="auto" w:fill="auto"/>
            <w:vAlign w:val="center"/>
          </w:tcPr>
          <w:p>
            <w:pPr>
              <w:widowControl/>
              <w:jc w:val="center"/>
              <w:rPr>
                <w:rFonts w:cs="宋体" w:asciiTheme="minorEastAsia" w:hAnsiTheme="minorEastAsia" w:eastAsiaTheme="minorEastAsia"/>
                <w:i/>
                <w:iCs/>
                <w:color w:val="000000"/>
                <w:kern w:val="0"/>
                <w:szCs w:val="21"/>
              </w:rPr>
            </w:pPr>
            <w:r>
              <w:rPr>
                <w:rFonts w:hint="eastAsia" w:cs="宋体" w:asciiTheme="minorEastAsia" w:hAnsiTheme="minorEastAsia" w:eastAsiaTheme="minorEastAsia"/>
                <w:i/>
                <w:iCs/>
                <w:color w:val="000000"/>
                <w:kern w:val="0"/>
                <w:szCs w:val="21"/>
              </w:rPr>
              <w:t>　</w:t>
            </w:r>
          </w:p>
        </w:tc>
        <w:tc>
          <w:tcPr>
            <w:tcW w:w="1019" w:type="pct"/>
            <w:gridSpan w:val="3"/>
            <w:shd w:val="clear" w:color="auto" w:fill="auto"/>
            <w:vAlign w:val="center"/>
          </w:tcPr>
          <w:p>
            <w:pPr>
              <w:widowControl/>
              <w:jc w:val="center"/>
              <w:rPr>
                <w:rFonts w:cs="宋体" w:asciiTheme="minorEastAsia" w:hAnsiTheme="minorEastAsia" w:eastAsiaTheme="minorEastAsia"/>
                <w:i/>
                <w:iCs/>
                <w:color w:val="000000"/>
                <w:kern w:val="0"/>
                <w:szCs w:val="21"/>
              </w:rPr>
            </w:pPr>
            <w:r>
              <w:rPr>
                <w:rFonts w:hint="eastAsia" w:cs="宋体" w:asciiTheme="minorEastAsia" w:hAnsiTheme="minorEastAsia" w:eastAsiaTheme="minorEastAsia"/>
                <w:i/>
                <w:iCs/>
                <w:color w:val="000000"/>
                <w:kern w:val="0"/>
                <w:szCs w:val="21"/>
              </w:rPr>
              <w:t>　</w:t>
            </w:r>
          </w:p>
        </w:tc>
        <w:tc>
          <w:tcPr>
            <w:tcW w:w="497" w:type="pct"/>
            <w:shd w:val="clear" w:color="auto" w:fill="auto"/>
            <w:vAlign w:val="center"/>
          </w:tcPr>
          <w:p>
            <w:pPr>
              <w:widowControl/>
              <w:jc w:val="center"/>
              <w:rPr>
                <w:rFonts w:cs="宋体" w:asciiTheme="minorEastAsia" w:hAnsiTheme="minorEastAsia" w:eastAsiaTheme="minorEastAsia"/>
                <w:i/>
                <w:iCs/>
                <w:color w:val="000000"/>
                <w:kern w:val="0"/>
                <w:szCs w:val="21"/>
              </w:rPr>
            </w:pPr>
            <w:r>
              <w:rPr>
                <w:rFonts w:hint="eastAsia" w:cs="宋体" w:asciiTheme="minorEastAsia" w:hAnsiTheme="minorEastAsia" w:eastAsiaTheme="minorEastAsia"/>
                <w:i/>
                <w:iCs/>
                <w:color w:val="000000"/>
                <w:kern w:val="0"/>
                <w:szCs w:val="21"/>
              </w:rPr>
              <w:t>　</w:t>
            </w:r>
          </w:p>
        </w:tc>
        <w:tc>
          <w:tcPr>
            <w:tcW w:w="339"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w:t>
            </w:r>
          </w:p>
        </w:tc>
        <w:tc>
          <w:tcPr>
            <w:tcW w:w="339"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w:t>
            </w:r>
          </w:p>
        </w:tc>
        <w:tc>
          <w:tcPr>
            <w:tcW w:w="872" w:type="pct"/>
            <w:vMerge w:val="continue"/>
            <w:vAlign w:val="center"/>
          </w:tcPr>
          <w:p>
            <w:pPr>
              <w:widowControl/>
              <w:jc w:val="left"/>
              <w:rPr>
                <w:rFonts w:cs="Courier New" w:asciiTheme="minorEastAsia" w:hAnsiTheme="minorEastAsia" w:eastAsiaTheme="minorEastAsia"/>
                <w:i/>
                <w:i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35" w:type="pct"/>
            <w:vMerge w:val="restar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绩效指标（90分）</w:t>
            </w:r>
          </w:p>
        </w:tc>
        <w:tc>
          <w:tcPr>
            <w:tcW w:w="609"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一级指标</w:t>
            </w:r>
          </w:p>
        </w:tc>
        <w:tc>
          <w:tcPr>
            <w:tcW w:w="388"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二级指标</w:t>
            </w:r>
          </w:p>
        </w:tc>
        <w:tc>
          <w:tcPr>
            <w:tcW w:w="602"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三级指标</w:t>
            </w:r>
          </w:p>
        </w:tc>
        <w:tc>
          <w:tcPr>
            <w:tcW w:w="341"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指标性质</w:t>
            </w:r>
          </w:p>
        </w:tc>
        <w:tc>
          <w:tcPr>
            <w:tcW w:w="338"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指标值</w:t>
            </w:r>
          </w:p>
        </w:tc>
        <w:tc>
          <w:tcPr>
            <w:tcW w:w="339"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度量单位</w:t>
            </w:r>
          </w:p>
        </w:tc>
        <w:tc>
          <w:tcPr>
            <w:tcW w:w="497"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完成值</w:t>
            </w:r>
          </w:p>
        </w:tc>
        <w:tc>
          <w:tcPr>
            <w:tcW w:w="339"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权重</w:t>
            </w:r>
          </w:p>
        </w:tc>
        <w:tc>
          <w:tcPr>
            <w:tcW w:w="339"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得分</w:t>
            </w:r>
          </w:p>
        </w:tc>
        <w:tc>
          <w:tcPr>
            <w:tcW w:w="872" w:type="pct"/>
            <w:shd w:val="clear" w:color="auto" w:fill="auto"/>
            <w:vAlign w:val="center"/>
          </w:tcPr>
          <w:p>
            <w:pPr>
              <w:widowControl/>
              <w:jc w:val="center"/>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未完成</w:t>
            </w:r>
          </w:p>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原因分析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335" w:type="pct"/>
            <w:vMerge w:val="continue"/>
            <w:vAlign w:val="center"/>
          </w:tcPr>
          <w:p>
            <w:pPr>
              <w:widowControl/>
              <w:jc w:val="left"/>
              <w:rPr>
                <w:rFonts w:cs="宋体" w:asciiTheme="minorEastAsia" w:hAnsiTheme="minorEastAsia" w:eastAsiaTheme="minorEastAsia"/>
                <w:color w:val="000000"/>
                <w:kern w:val="0"/>
                <w:szCs w:val="21"/>
              </w:rPr>
            </w:pPr>
          </w:p>
        </w:tc>
        <w:tc>
          <w:tcPr>
            <w:tcW w:w="609" w:type="pct"/>
            <w:vMerge w:val="restar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产出指标</w:t>
            </w:r>
          </w:p>
        </w:tc>
        <w:tc>
          <w:tcPr>
            <w:tcW w:w="388"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数量指标</w:t>
            </w:r>
          </w:p>
        </w:tc>
        <w:tc>
          <w:tcPr>
            <w:tcW w:w="602"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发放票据约1000万份。</w:t>
            </w:r>
          </w:p>
        </w:tc>
        <w:tc>
          <w:tcPr>
            <w:tcW w:w="341"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w:t>
            </w:r>
          </w:p>
        </w:tc>
        <w:tc>
          <w:tcPr>
            <w:tcW w:w="338"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1000</w:t>
            </w:r>
          </w:p>
        </w:tc>
        <w:tc>
          <w:tcPr>
            <w:tcW w:w="339"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万份</w:t>
            </w:r>
          </w:p>
        </w:tc>
        <w:tc>
          <w:tcPr>
            <w:tcW w:w="497" w:type="pct"/>
            <w:shd w:val="clear" w:color="auto" w:fill="auto"/>
            <w:vAlign w:val="center"/>
          </w:tcPr>
          <w:p>
            <w:pPr>
              <w:widowControl/>
              <w:jc w:val="center"/>
              <w:rPr>
                <w:rFonts w:cs="宋体" w:asciiTheme="minorEastAsia" w:hAnsiTheme="minorEastAsia" w:eastAsiaTheme="minorEastAsia"/>
                <w:i/>
                <w:iCs/>
                <w:color w:val="000000"/>
                <w:kern w:val="0"/>
                <w:szCs w:val="21"/>
              </w:rPr>
            </w:pPr>
            <w:r>
              <w:rPr>
                <w:rFonts w:hint="eastAsia" w:cs="宋体" w:asciiTheme="minorEastAsia" w:hAnsiTheme="minorEastAsia" w:eastAsiaTheme="minorEastAsia"/>
                <w:i/>
                <w:iCs/>
                <w:color w:val="000000"/>
                <w:kern w:val="0"/>
                <w:szCs w:val="21"/>
              </w:rPr>
              <w:t>2000</w:t>
            </w:r>
          </w:p>
        </w:tc>
        <w:tc>
          <w:tcPr>
            <w:tcW w:w="339"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15</w:t>
            </w:r>
          </w:p>
        </w:tc>
        <w:tc>
          <w:tcPr>
            <w:tcW w:w="339"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15</w:t>
            </w:r>
          </w:p>
        </w:tc>
        <w:tc>
          <w:tcPr>
            <w:tcW w:w="872"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335" w:type="pct"/>
            <w:vMerge w:val="continue"/>
            <w:vAlign w:val="center"/>
          </w:tcPr>
          <w:p>
            <w:pPr>
              <w:widowControl/>
              <w:jc w:val="left"/>
              <w:rPr>
                <w:rFonts w:cs="宋体" w:asciiTheme="minorEastAsia" w:hAnsiTheme="minorEastAsia" w:eastAsiaTheme="minorEastAsia"/>
                <w:color w:val="000000"/>
                <w:kern w:val="0"/>
                <w:szCs w:val="21"/>
              </w:rPr>
            </w:pPr>
          </w:p>
        </w:tc>
        <w:tc>
          <w:tcPr>
            <w:tcW w:w="609" w:type="pct"/>
            <w:vMerge w:val="continue"/>
            <w:vAlign w:val="center"/>
          </w:tcPr>
          <w:p>
            <w:pPr>
              <w:widowControl/>
              <w:jc w:val="left"/>
              <w:rPr>
                <w:rFonts w:cs="宋体" w:asciiTheme="minorEastAsia" w:hAnsiTheme="minorEastAsia" w:eastAsiaTheme="minorEastAsia"/>
                <w:color w:val="000000"/>
                <w:kern w:val="0"/>
                <w:szCs w:val="21"/>
              </w:rPr>
            </w:pPr>
          </w:p>
        </w:tc>
        <w:tc>
          <w:tcPr>
            <w:tcW w:w="388"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质量指标</w:t>
            </w:r>
          </w:p>
        </w:tc>
        <w:tc>
          <w:tcPr>
            <w:tcW w:w="602"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规范票据，使用率达100%。</w:t>
            </w:r>
          </w:p>
        </w:tc>
        <w:tc>
          <w:tcPr>
            <w:tcW w:w="341"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w:t>
            </w:r>
          </w:p>
        </w:tc>
        <w:tc>
          <w:tcPr>
            <w:tcW w:w="338"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100</w:t>
            </w:r>
          </w:p>
        </w:tc>
        <w:tc>
          <w:tcPr>
            <w:tcW w:w="339"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w:t>
            </w:r>
          </w:p>
        </w:tc>
        <w:tc>
          <w:tcPr>
            <w:tcW w:w="497" w:type="pct"/>
            <w:shd w:val="clear" w:color="auto" w:fill="auto"/>
            <w:vAlign w:val="center"/>
          </w:tcPr>
          <w:p>
            <w:pPr>
              <w:widowControl/>
              <w:jc w:val="center"/>
              <w:rPr>
                <w:rFonts w:cs="宋体" w:asciiTheme="minorEastAsia" w:hAnsiTheme="minorEastAsia" w:eastAsiaTheme="minorEastAsia"/>
                <w:i/>
                <w:iCs/>
                <w:color w:val="000000"/>
                <w:kern w:val="0"/>
                <w:szCs w:val="21"/>
              </w:rPr>
            </w:pPr>
            <w:r>
              <w:rPr>
                <w:rFonts w:hint="eastAsia" w:cs="宋体" w:asciiTheme="minorEastAsia" w:hAnsiTheme="minorEastAsia" w:eastAsiaTheme="minorEastAsia"/>
                <w:i/>
                <w:iCs/>
                <w:color w:val="000000"/>
                <w:kern w:val="0"/>
                <w:szCs w:val="21"/>
              </w:rPr>
              <w:t>100</w:t>
            </w:r>
          </w:p>
        </w:tc>
        <w:tc>
          <w:tcPr>
            <w:tcW w:w="339"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10</w:t>
            </w:r>
          </w:p>
        </w:tc>
        <w:tc>
          <w:tcPr>
            <w:tcW w:w="339"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10</w:t>
            </w:r>
          </w:p>
        </w:tc>
        <w:tc>
          <w:tcPr>
            <w:tcW w:w="872"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335" w:type="pct"/>
            <w:vMerge w:val="continue"/>
            <w:vAlign w:val="center"/>
          </w:tcPr>
          <w:p>
            <w:pPr>
              <w:widowControl/>
              <w:jc w:val="left"/>
              <w:rPr>
                <w:rFonts w:cs="宋体" w:asciiTheme="minorEastAsia" w:hAnsiTheme="minorEastAsia" w:eastAsiaTheme="minorEastAsia"/>
                <w:color w:val="000000"/>
                <w:kern w:val="0"/>
                <w:szCs w:val="21"/>
              </w:rPr>
            </w:pPr>
          </w:p>
        </w:tc>
        <w:tc>
          <w:tcPr>
            <w:tcW w:w="609" w:type="pct"/>
            <w:vMerge w:val="continue"/>
            <w:vAlign w:val="center"/>
          </w:tcPr>
          <w:p>
            <w:pPr>
              <w:widowControl/>
              <w:jc w:val="left"/>
              <w:rPr>
                <w:rFonts w:cs="宋体" w:asciiTheme="minorEastAsia" w:hAnsiTheme="minorEastAsia" w:eastAsiaTheme="minorEastAsia"/>
                <w:color w:val="000000"/>
                <w:kern w:val="0"/>
                <w:szCs w:val="21"/>
              </w:rPr>
            </w:pPr>
          </w:p>
        </w:tc>
        <w:tc>
          <w:tcPr>
            <w:tcW w:w="388"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时效指标</w:t>
            </w:r>
          </w:p>
        </w:tc>
        <w:tc>
          <w:tcPr>
            <w:tcW w:w="602"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及时对票据申领核销进行处理。</w:t>
            </w:r>
          </w:p>
        </w:tc>
        <w:tc>
          <w:tcPr>
            <w:tcW w:w="341"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定性</w:t>
            </w:r>
          </w:p>
        </w:tc>
        <w:tc>
          <w:tcPr>
            <w:tcW w:w="338"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优</w:t>
            </w:r>
          </w:p>
        </w:tc>
        <w:tc>
          <w:tcPr>
            <w:tcW w:w="339"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w:t>
            </w:r>
          </w:p>
        </w:tc>
        <w:tc>
          <w:tcPr>
            <w:tcW w:w="497" w:type="pct"/>
            <w:shd w:val="clear" w:color="auto" w:fill="auto"/>
            <w:vAlign w:val="center"/>
          </w:tcPr>
          <w:p>
            <w:pPr>
              <w:widowControl/>
              <w:jc w:val="center"/>
              <w:rPr>
                <w:rFonts w:cs="宋体" w:asciiTheme="minorEastAsia" w:hAnsiTheme="minorEastAsia" w:eastAsiaTheme="minorEastAsia"/>
                <w:i/>
                <w:iCs/>
                <w:color w:val="000000"/>
                <w:kern w:val="0"/>
                <w:szCs w:val="21"/>
              </w:rPr>
            </w:pPr>
            <w:r>
              <w:rPr>
                <w:rFonts w:hint="eastAsia" w:cs="宋体" w:asciiTheme="minorEastAsia" w:hAnsiTheme="minorEastAsia" w:eastAsiaTheme="minorEastAsia"/>
                <w:i/>
                <w:iCs/>
                <w:color w:val="000000"/>
                <w:kern w:val="0"/>
                <w:szCs w:val="21"/>
              </w:rPr>
              <w:t>优</w:t>
            </w:r>
          </w:p>
        </w:tc>
        <w:tc>
          <w:tcPr>
            <w:tcW w:w="339"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20</w:t>
            </w:r>
          </w:p>
        </w:tc>
        <w:tc>
          <w:tcPr>
            <w:tcW w:w="339"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20</w:t>
            </w:r>
          </w:p>
        </w:tc>
        <w:tc>
          <w:tcPr>
            <w:tcW w:w="872"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335" w:type="pct"/>
            <w:vMerge w:val="continue"/>
            <w:vAlign w:val="center"/>
          </w:tcPr>
          <w:p>
            <w:pPr>
              <w:widowControl/>
              <w:jc w:val="left"/>
              <w:rPr>
                <w:rFonts w:cs="宋体" w:asciiTheme="minorEastAsia" w:hAnsiTheme="minorEastAsia" w:eastAsiaTheme="minorEastAsia"/>
                <w:color w:val="000000"/>
                <w:kern w:val="0"/>
                <w:szCs w:val="21"/>
              </w:rPr>
            </w:pPr>
          </w:p>
        </w:tc>
        <w:tc>
          <w:tcPr>
            <w:tcW w:w="609" w:type="pct"/>
            <w:vMerge w:val="restar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效益指标</w:t>
            </w:r>
          </w:p>
        </w:tc>
        <w:tc>
          <w:tcPr>
            <w:tcW w:w="388"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经济效益指标</w:t>
            </w:r>
          </w:p>
        </w:tc>
        <w:tc>
          <w:tcPr>
            <w:tcW w:w="602"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促进非税收入及时缴库，缴库率达100%。</w:t>
            </w:r>
          </w:p>
        </w:tc>
        <w:tc>
          <w:tcPr>
            <w:tcW w:w="341"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w:t>
            </w:r>
          </w:p>
        </w:tc>
        <w:tc>
          <w:tcPr>
            <w:tcW w:w="338"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100</w:t>
            </w:r>
          </w:p>
        </w:tc>
        <w:tc>
          <w:tcPr>
            <w:tcW w:w="339"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w:t>
            </w:r>
          </w:p>
        </w:tc>
        <w:tc>
          <w:tcPr>
            <w:tcW w:w="497" w:type="pct"/>
            <w:shd w:val="clear" w:color="auto" w:fill="auto"/>
            <w:vAlign w:val="center"/>
          </w:tcPr>
          <w:p>
            <w:pPr>
              <w:widowControl/>
              <w:jc w:val="center"/>
              <w:rPr>
                <w:rFonts w:cs="宋体" w:asciiTheme="minorEastAsia" w:hAnsiTheme="minorEastAsia" w:eastAsiaTheme="minorEastAsia"/>
                <w:i/>
                <w:iCs/>
                <w:color w:val="000000"/>
                <w:kern w:val="0"/>
                <w:szCs w:val="21"/>
              </w:rPr>
            </w:pPr>
            <w:r>
              <w:rPr>
                <w:rFonts w:hint="eastAsia" w:cs="宋体" w:asciiTheme="minorEastAsia" w:hAnsiTheme="minorEastAsia" w:eastAsiaTheme="minorEastAsia"/>
                <w:i/>
                <w:iCs/>
                <w:color w:val="000000"/>
                <w:kern w:val="0"/>
                <w:szCs w:val="21"/>
              </w:rPr>
              <w:t>100</w:t>
            </w:r>
          </w:p>
        </w:tc>
        <w:tc>
          <w:tcPr>
            <w:tcW w:w="339"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10</w:t>
            </w:r>
          </w:p>
        </w:tc>
        <w:tc>
          <w:tcPr>
            <w:tcW w:w="339"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10</w:t>
            </w:r>
          </w:p>
        </w:tc>
        <w:tc>
          <w:tcPr>
            <w:tcW w:w="872"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335" w:type="pct"/>
            <w:vMerge w:val="continue"/>
            <w:vAlign w:val="center"/>
          </w:tcPr>
          <w:p>
            <w:pPr>
              <w:widowControl/>
              <w:jc w:val="left"/>
              <w:rPr>
                <w:rFonts w:cs="宋体" w:asciiTheme="minorEastAsia" w:hAnsiTheme="minorEastAsia" w:eastAsiaTheme="minorEastAsia"/>
                <w:color w:val="000000"/>
                <w:kern w:val="0"/>
                <w:szCs w:val="21"/>
              </w:rPr>
            </w:pPr>
          </w:p>
        </w:tc>
        <w:tc>
          <w:tcPr>
            <w:tcW w:w="609" w:type="pct"/>
            <w:vMerge w:val="continue"/>
            <w:vAlign w:val="center"/>
          </w:tcPr>
          <w:p>
            <w:pPr>
              <w:widowControl/>
              <w:jc w:val="left"/>
              <w:rPr>
                <w:rFonts w:cs="宋体" w:asciiTheme="minorEastAsia" w:hAnsiTheme="minorEastAsia" w:eastAsiaTheme="minorEastAsia"/>
                <w:color w:val="000000"/>
                <w:kern w:val="0"/>
                <w:szCs w:val="21"/>
              </w:rPr>
            </w:pPr>
          </w:p>
        </w:tc>
        <w:tc>
          <w:tcPr>
            <w:tcW w:w="388"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社会效益指标</w:t>
            </w:r>
          </w:p>
        </w:tc>
        <w:tc>
          <w:tcPr>
            <w:tcW w:w="602"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保障财政票据工作正常进行。</w:t>
            </w:r>
          </w:p>
        </w:tc>
        <w:tc>
          <w:tcPr>
            <w:tcW w:w="341"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定性</w:t>
            </w:r>
          </w:p>
        </w:tc>
        <w:tc>
          <w:tcPr>
            <w:tcW w:w="338"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优</w:t>
            </w:r>
          </w:p>
        </w:tc>
        <w:tc>
          <w:tcPr>
            <w:tcW w:w="339"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w:t>
            </w:r>
          </w:p>
        </w:tc>
        <w:tc>
          <w:tcPr>
            <w:tcW w:w="497" w:type="pct"/>
            <w:shd w:val="clear" w:color="auto" w:fill="auto"/>
            <w:vAlign w:val="center"/>
          </w:tcPr>
          <w:p>
            <w:pPr>
              <w:widowControl/>
              <w:jc w:val="center"/>
              <w:rPr>
                <w:rFonts w:cs="宋体" w:asciiTheme="minorEastAsia" w:hAnsiTheme="minorEastAsia" w:eastAsiaTheme="minorEastAsia"/>
                <w:i/>
                <w:iCs/>
                <w:color w:val="000000"/>
                <w:kern w:val="0"/>
                <w:szCs w:val="21"/>
              </w:rPr>
            </w:pPr>
            <w:r>
              <w:rPr>
                <w:rFonts w:hint="eastAsia" w:cs="宋体" w:asciiTheme="minorEastAsia" w:hAnsiTheme="minorEastAsia" w:eastAsiaTheme="minorEastAsia"/>
                <w:i/>
                <w:iCs/>
                <w:color w:val="000000"/>
                <w:kern w:val="0"/>
                <w:szCs w:val="21"/>
              </w:rPr>
              <w:t>优</w:t>
            </w:r>
          </w:p>
        </w:tc>
        <w:tc>
          <w:tcPr>
            <w:tcW w:w="339"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15</w:t>
            </w:r>
          </w:p>
        </w:tc>
        <w:tc>
          <w:tcPr>
            <w:tcW w:w="339"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15</w:t>
            </w:r>
          </w:p>
        </w:tc>
        <w:tc>
          <w:tcPr>
            <w:tcW w:w="872"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335" w:type="pct"/>
            <w:vMerge w:val="continue"/>
            <w:vAlign w:val="center"/>
          </w:tcPr>
          <w:p>
            <w:pPr>
              <w:widowControl/>
              <w:jc w:val="left"/>
              <w:rPr>
                <w:rFonts w:cs="宋体" w:asciiTheme="minorEastAsia" w:hAnsiTheme="minorEastAsia" w:eastAsiaTheme="minorEastAsia"/>
                <w:color w:val="000000"/>
                <w:kern w:val="0"/>
                <w:szCs w:val="21"/>
              </w:rPr>
            </w:pPr>
          </w:p>
        </w:tc>
        <w:tc>
          <w:tcPr>
            <w:tcW w:w="609" w:type="pct"/>
            <w:vMerge w:val="continue"/>
            <w:vAlign w:val="center"/>
          </w:tcPr>
          <w:p>
            <w:pPr>
              <w:widowControl/>
              <w:jc w:val="left"/>
              <w:rPr>
                <w:rFonts w:cs="宋体" w:asciiTheme="minorEastAsia" w:hAnsiTheme="minorEastAsia" w:eastAsiaTheme="minorEastAsia"/>
                <w:color w:val="000000"/>
                <w:kern w:val="0"/>
                <w:szCs w:val="21"/>
              </w:rPr>
            </w:pPr>
          </w:p>
        </w:tc>
        <w:tc>
          <w:tcPr>
            <w:tcW w:w="388"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可持续影响指标</w:t>
            </w:r>
          </w:p>
        </w:tc>
        <w:tc>
          <w:tcPr>
            <w:tcW w:w="602"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促进项目持续推进和确保项目规范运营。</w:t>
            </w:r>
          </w:p>
        </w:tc>
        <w:tc>
          <w:tcPr>
            <w:tcW w:w="341"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定性</w:t>
            </w:r>
          </w:p>
        </w:tc>
        <w:tc>
          <w:tcPr>
            <w:tcW w:w="338"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优</w:t>
            </w:r>
          </w:p>
        </w:tc>
        <w:tc>
          <w:tcPr>
            <w:tcW w:w="339"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w:t>
            </w:r>
          </w:p>
        </w:tc>
        <w:tc>
          <w:tcPr>
            <w:tcW w:w="497" w:type="pct"/>
            <w:shd w:val="clear" w:color="auto" w:fill="auto"/>
            <w:vAlign w:val="center"/>
          </w:tcPr>
          <w:p>
            <w:pPr>
              <w:widowControl/>
              <w:jc w:val="center"/>
              <w:rPr>
                <w:rFonts w:cs="宋体" w:asciiTheme="minorEastAsia" w:hAnsiTheme="minorEastAsia" w:eastAsiaTheme="minorEastAsia"/>
                <w:i/>
                <w:iCs/>
                <w:color w:val="000000"/>
                <w:kern w:val="0"/>
                <w:szCs w:val="21"/>
              </w:rPr>
            </w:pPr>
            <w:r>
              <w:rPr>
                <w:rFonts w:hint="eastAsia" w:cs="宋体" w:asciiTheme="minorEastAsia" w:hAnsiTheme="minorEastAsia" w:eastAsiaTheme="minorEastAsia"/>
                <w:i/>
                <w:iCs/>
                <w:color w:val="000000"/>
                <w:kern w:val="0"/>
                <w:szCs w:val="21"/>
              </w:rPr>
              <w:t>优</w:t>
            </w:r>
          </w:p>
        </w:tc>
        <w:tc>
          <w:tcPr>
            <w:tcW w:w="339"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10</w:t>
            </w:r>
          </w:p>
        </w:tc>
        <w:tc>
          <w:tcPr>
            <w:tcW w:w="339"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10</w:t>
            </w:r>
          </w:p>
        </w:tc>
        <w:tc>
          <w:tcPr>
            <w:tcW w:w="872"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335" w:type="pct"/>
            <w:vMerge w:val="continue"/>
            <w:vAlign w:val="center"/>
          </w:tcPr>
          <w:p>
            <w:pPr>
              <w:widowControl/>
              <w:jc w:val="left"/>
              <w:rPr>
                <w:rFonts w:cs="宋体" w:asciiTheme="minorEastAsia" w:hAnsiTheme="minorEastAsia" w:eastAsiaTheme="minorEastAsia"/>
                <w:color w:val="000000"/>
                <w:kern w:val="0"/>
                <w:szCs w:val="21"/>
              </w:rPr>
            </w:pPr>
          </w:p>
        </w:tc>
        <w:tc>
          <w:tcPr>
            <w:tcW w:w="609"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满意度指标</w:t>
            </w:r>
          </w:p>
        </w:tc>
        <w:tc>
          <w:tcPr>
            <w:tcW w:w="388"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服务对象满意度指标</w:t>
            </w:r>
          </w:p>
        </w:tc>
        <w:tc>
          <w:tcPr>
            <w:tcW w:w="602"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让委托单位满意，满意度达98%</w:t>
            </w:r>
          </w:p>
        </w:tc>
        <w:tc>
          <w:tcPr>
            <w:tcW w:w="341"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w:t>
            </w:r>
          </w:p>
        </w:tc>
        <w:tc>
          <w:tcPr>
            <w:tcW w:w="338"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98</w:t>
            </w:r>
          </w:p>
        </w:tc>
        <w:tc>
          <w:tcPr>
            <w:tcW w:w="339"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w:t>
            </w:r>
          </w:p>
        </w:tc>
        <w:tc>
          <w:tcPr>
            <w:tcW w:w="497" w:type="pct"/>
            <w:shd w:val="clear" w:color="auto" w:fill="auto"/>
            <w:vAlign w:val="center"/>
          </w:tcPr>
          <w:p>
            <w:pPr>
              <w:widowControl/>
              <w:jc w:val="center"/>
              <w:rPr>
                <w:rFonts w:cs="宋体" w:asciiTheme="minorEastAsia" w:hAnsiTheme="minorEastAsia" w:eastAsiaTheme="minorEastAsia"/>
                <w:i/>
                <w:iCs/>
                <w:color w:val="000000"/>
                <w:kern w:val="0"/>
                <w:szCs w:val="21"/>
              </w:rPr>
            </w:pPr>
            <w:r>
              <w:rPr>
                <w:rFonts w:hint="eastAsia" w:cs="宋体" w:asciiTheme="minorEastAsia" w:hAnsiTheme="minorEastAsia" w:eastAsiaTheme="minorEastAsia"/>
                <w:i/>
                <w:iCs/>
                <w:color w:val="000000"/>
                <w:kern w:val="0"/>
                <w:szCs w:val="21"/>
              </w:rPr>
              <w:t>98</w:t>
            </w:r>
          </w:p>
        </w:tc>
        <w:tc>
          <w:tcPr>
            <w:tcW w:w="339"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10</w:t>
            </w:r>
          </w:p>
        </w:tc>
        <w:tc>
          <w:tcPr>
            <w:tcW w:w="339"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10</w:t>
            </w:r>
          </w:p>
        </w:tc>
        <w:tc>
          <w:tcPr>
            <w:tcW w:w="872"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449" w:type="pct"/>
            <w:gridSpan w:val="8"/>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合计</w:t>
            </w:r>
          </w:p>
        </w:tc>
        <w:tc>
          <w:tcPr>
            <w:tcW w:w="339"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100</w:t>
            </w:r>
          </w:p>
        </w:tc>
        <w:tc>
          <w:tcPr>
            <w:tcW w:w="339" w:type="pct"/>
            <w:shd w:val="clear" w:color="auto" w:fill="auto"/>
            <w:vAlign w:val="center"/>
          </w:tcPr>
          <w:p>
            <w:pPr>
              <w:widowControl/>
              <w:jc w:val="righ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100</w:t>
            </w:r>
          </w:p>
        </w:tc>
        <w:tc>
          <w:tcPr>
            <w:tcW w:w="872" w:type="pct"/>
            <w:shd w:val="clear" w:color="auto" w:fill="auto"/>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35"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评价结论</w:t>
            </w:r>
          </w:p>
        </w:tc>
        <w:tc>
          <w:tcPr>
            <w:tcW w:w="4665" w:type="pct"/>
            <w:gridSpan w:val="10"/>
            <w:shd w:val="clear" w:color="auto" w:fill="auto"/>
            <w:vAlign w:val="center"/>
          </w:tcPr>
          <w:p>
            <w:pPr>
              <w:widowControl/>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自评得分100分，圆满完成财政票据的发放、使用、核销等工作。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35"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存在问题</w:t>
            </w:r>
          </w:p>
        </w:tc>
        <w:tc>
          <w:tcPr>
            <w:tcW w:w="4665" w:type="pct"/>
            <w:gridSpan w:val="10"/>
            <w:shd w:val="clear" w:color="auto" w:fill="auto"/>
            <w:vAlign w:val="center"/>
          </w:tcPr>
          <w:p>
            <w:pPr>
              <w:widowControl/>
              <w:jc w:val="left"/>
              <w:rPr>
                <w:rFonts w:cs="宋体" w:asciiTheme="minorEastAsia" w:hAnsiTheme="minorEastAsia" w:eastAsiaTheme="minorEastAsia"/>
                <w:i/>
                <w:iCs/>
                <w:color w:val="000000"/>
                <w:kern w:val="0"/>
                <w:szCs w:val="21"/>
              </w:rPr>
            </w:pPr>
            <w:r>
              <w:rPr>
                <w:rFonts w:hint="eastAsia" w:cs="宋体" w:asciiTheme="minorEastAsia" w:hAnsiTheme="minorEastAsia" w:eastAsiaTheme="minorEastAsia"/>
                <w:i/>
                <w:iCs/>
                <w:color w:val="000000"/>
                <w:kern w:val="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35" w:type="pct"/>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改进措施</w:t>
            </w:r>
          </w:p>
        </w:tc>
        <w:tc>
          <w:tcPr>
            <w:tcW w:w="4665" w:type="pct"/>
            <w:gridSpan w:val="10"/>
            <w:shd w:val="clear" w:color="auto" w:fill="auto"/>
            <w:vAlign w:val="center"/>
          </w:tcPr>
          <w:p>
            <w:pPr>
              <w:widowControl/>
              <w:jc w:val="left"/>
              <w:rPr>
                <w:rFonts w:cs="宋体" w:asciiTheme="minorEastAsia" w:hAnsiTheme="minorEastAsia" w:eastAsiaTheme="minorEastAsia"/>
                <w:i/>
                <w:iCs/>
                <w:color w:val="000000"/>
                <w:kern w:val="0"/>
                <w:szCs w:val="21"/>
              </w:rPr>
            </w:pPr>
            <w:r>
              <w:rPr>
                <w:rFonts w:hint="eastAsia" w:cs="宋体" w:asciiTheme="minorEastAsia" w:hAnsiTheme="minorEastAsia" w:eastAsiaTheme="minorEastAsia"/>
                <w:i/>
                <w:iCs/>
                <w:color w:val="000000"/>
                <w:kern w:val="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2275" w:type="pct"/>
            <w:gridSpan w:val="5"/>
            <w:shd w:val="clear" w:color="auto" w:fill="auto"/>
            <w:vAlign w:val="center"/>
          </w:tcPr>
          <w:p>
            <w:pPr>
              <w:widowControl/>
              <w:jc w:val="left"/>
              <w:rPr>
                <w:rFonts w:cs="Courier New" w:asciiTheme="minorEastAsia" w:hAnsiTheme="minorEastAsia" w:eastAsiaTheme="minorEastAsia"/>
                <w:color w:val="000000"/>
                <w:kern w:val="0"/>
                <w:szCs w:val="21"/>
              </w:rPr>
            </w:pPr>
            <w:r>
              <w:rPr>
                <w:rFonts w:cs="Courier New" w:asciiTheme="minorEastAsia" w:hAnsiTheme="minorEastAsia" w:eastAsiaTheme="minorEastAsia"/>
                <w:color w:val="000000"/>
                <w:kern w:val="0"/>
                <w:szCs w:val="21"/>
              </w:rPr>
              <w:t>项目负责人：</w:t>
            </w:r>
          </w:p>
        </w:tc>
        <w:tc>
          <w:tcPr>
            <w:tcW w:w="2725" w:type="pct"/>
            <w:gridSpan w:val="6"/>
            <w:shd w:val="clear" w:color="auto" w:fill="auto"/>
            <w:vAlign w:val="center"/>
          </w:tcPr>
          <w:p>
            <w:pPr>
              <w:widowControl/>
              <w:jc w:val="left"/>
              <w:rPr>
                <w:rFonts w:cs="Courier New" w:asciiTheme="minorEastAsia" w:hAnsiTheme="minorEastAsia" w:eastAsiaTheme="minorEastAsia"/>
                <w:color w:val="000000"/>
                <w:kern w:val="0"/>
                <w:szCs w:val="21"/>
              </w:rPr>
            </w:pPr>
            <w:r>
              <w:rPr>
                <w:rFonts w:cs="Courier New" w:asciiTheme="minorEastAsia" w:hAnsiTheme="minorEastAsia" w:eastAsiaTheme="minorEastAsia"/>
                <w:color w:val="000000"/>
                <w:kern w:val="0"/>
                <w:szCs w:val="21"/>
              </w:rPr>
              <w:t>财务负责人：</w:t>
            </w:r>
          </w:p>
        </w:tc>
      </w:tr>
    </w:tbl>
    <w:p>
      <w:pPr>
        <w:widowControl/>
        <w:jc w:val="left"/>
        <w:rPr>
          <w:rFonts w:eastAsia="方正小标宋简体"/>
          <w:bCs/>
          <w:sz w:val="44"/>
          <w:szCs w:val="44"/>
          <w:shd w:val="clear" w:color="auto" w:fill="FFFFFF"/>
        </w:rPr>
      </w:pPr>
      <w:r>
        <w:rPr>
          <w:rFonts w:eastAsia="方正小标宋简体"/>
          <w:bCs/>
          <w:sz w:val="44"/>
          <w:szCs w:val="44"/>
          <w:shd w:val="clear" w:color="auto" w:fill="FFFFFF"/>
        </w:rPr>
        <w:br w:type="page"/>
      </w:r>
    </w:p>
    <w:p>
      <w:pPr>
        <w:pStyle w:val="3"/>
        <w:ind w:firstLine="440" w:firstLineChars="100"/>
        <w:jc w:val="center"/>
        <w:rPr>
          <w:rFonts w:eastAsia="方正小标宋简体" w:cs="方正小标宋简体"/>
          <w:b w:val="0"/>
        </w:rPr>
      </w:pPr>
      <w:bookmarkStart w:id="103" w:name="_Toc15396618"/>
      <w:bookmarkStart w:id="104" w:name="_Toc206602916"/>
      <w:r>
        <w:rPr>
          <w:rFonts w:hint="eastAsia" w:eastAsia="方正小标宋简体" w:cs="方正小标宋简体"/>
          <w:b w:val="0"/>
        </w:rPr>
        <w:t>第</w:t>
      </w:r>
      <w:r>
        <w:rPr>
          <w:rFonts w:hint="eastAsia" w:eastAsia="方正小标宋简体" w:cs="方正小标宋简体"/>
          <w:b w:val="0"/>
          <w:bCs w:val="0"/>
        </w:rPr>
        <w:t>五部分  附表</w:t>
      </w:r>
      <w:bookmarkEnd w:id="101"/>
      <w:bookmarkEnd w:id="103"/>
      <w:bookmarkEnd w:id="104"/>
      <w:bookmarkStart w:id="105" w:name="_Toc15396619"/>
    </w:p>
    <w:p>
      <w:pPr>
        <w:pStyle w:val="14"/>
        <w:adjustRightInd w:val="0"/>
        <w:snapToGrid w:val="0"/>
        <w:spacing w:line="560" w:lineRule="exact"/>
        <w:jc w:val="left"/>
        <w:rPr>
          <w:rFonts w:eastAsia="仿宋_GB2312" w:cs="仿宋_GB2312"/>
          <w:sz w:val="32"/>
          <w:szCs w:val="32"/>
        </w:rPr>
      </w:pPr>
    </w:p>
    <w:p>
      <w:pPr>
        <w:pStyle w:val="4"/>
        <w:spacing w:before="0" w:after="0" w:line="240" w:lineRule="auto"/>
        <w:ind w:firstLine="640" w:firstLineChars="200"/>
        <w:rPr>
          <w:rStyle w:val="30"/>
          <w:rFonts w:hint="eastAsia" w:ascii="仿宋_GB2312" w:hAnsi="Times New Roman" w:eastAsia="仿宋_GB2312" w:cs="Times New Roman"/>
          <w:b w:val="0"/>
          <w:bCs w:val="0"/>
        </w:rPr>
      </w:pPr>
      <w:bookmarkStart w:id="106" w:name="_Toc206602917"/>
      <w:r>
        <w:rPr>
          <w:rStyle w:val="30"/>
          <w:rFonts w:hint="eastAsia" w:ascii="仿宋_GB2312" w:hAnsi="Times New Roman" w:eastAsia="仿宋_GB2312" w:cs="Times New Roman"/>
          <w:b w:val="0"/>
          <w:bCs w:val="0"/>
        </w:rPr>
        <w:t>一、收入支出决算总表</w:t>
      </w:r>
      <w:bookmarkEnd w:id="105"/>
      <w:bookmarkEnd w:id="106"/>
    </w:p>
    <w:p>
      <w:pPr>
        <w:pStyle w:val="4"/>
        <w:spacing w:before="0" w:after="0" w:line="240" w:lineRule="auto"/>
        <w:ind w:firstLine="640" w:firstLineChars="200"/>
        <w:rPr>
          <w:rStyle w:val="30"/>
          <w:rFonts w:hint="eastAsia" w:ascii="仿宋_GB2312" w:hAnsi="Times New Roman" w:eastAsia="仿宋_GB2312" w:cs="Times New Roman"/>
          <w:b w:val="0"/>
          <w:bCs w:val="0"/>
        </w:rPr>
      </w:pPr>
      <w:bookmarkStart w:id="107" w:name="_Toc15396620"/>
      <w:bookmarkStart w:id="108" w:name="_Toc206602918"/>
      <w:r>
        <w:rPr>
          <w:rStyle w:val="30"/>
          <w:rFonts w:hint="eastAsia" w:ascii="仿宋_GB2312" w:hAnsi="Times New Roman" w:eastAsia="仿宋_GB2312" w:cs="Times New Roman"/>
          <w:b w:val="0"/>
          <w:bCs w:val="0"/>
        </w:rPr>
        <w:t>二、收入决算表</w:t>
      </w:r>
      <w:bookmarkEnd w:id="107"/>
      <w:bookmarkEnd w:id="108"/>
    </w:p>
    <w:p>
      <w:pPr>
        <w:pStyle w:val="4"/>
        <w:spacing w:before="0" w:after="0" w:line="240" w:lineRule="auto"/>
        <w:ind w:firstLine="640" w:firstLineChars="200"/>
        <w:rPr>
          <w:rStyle w:val="30"/>
          <w:rFonts w:hint="eastAsia" w:ascii="仿宋_GB2312" w:hAnsi="Times New Roman" w:eastAsia="仿宋_GB2312" w:cs="Times New Roman"/>
          <w:b w:val="0"/>
          <w:bCs w:val="0"/>
        </w:rPr>
      </w:pPr>
      <w:bookmarkStart w:id="109" w:name="_Toc15396621"/>
      <w:bookmarkStart w:id="110" w:name="_Toc206602919"/>
      <w:r>
        <w:rPr>
          <w:rStyle w:val="30"/>
          <w:rFonts w:hint="eastAsia" w:ascii="仿宋_GB2312" w:hAnsi="Times New Roman" w:eastAsia="仿宋_GB2312" w:cs="Times New Roman"/>
          <w:b w:val="0"/>
          <w:bCs w:val="0"/>
        </w:rPr>
        <w:t>三、支出决算表</w:t>
      </w:r>
      <w:bookmarkEnd w:id="109"/>
      <w:bookmarkEnd w:id="110"/>
    </w:p>
    <w:p>
      <w:pPr>
        <w:pStyle w:val="4"/>
        <w:spacing w:before="0" w:after="0" w:line="240" w:lineRule="auto"/>
        <w:ind w:firstLine="640" w:firstLineChars="200"/>
        <w:rPr>
          <w:rStyle w:val="30"/>
          <w:rFonts w:hint="eastAsia" w:ascii="仿宋_GB2312" w:hAnsi="Times New Roman" w:eastAsia="仿宋_GB2312" w:cs="Times New Roman"/>
          <w:b w:val="0"/>
          <w:bCs w:val="0"/>
        </w:rPr>
      </w:pPr>
      <w:bookmarkStart w:id="111" w:name="_Toc15396622"/>
      <w:bookmarkStart w:id="112" w:name="_Toc206602920"/>
      <w:r>
        <w:rPr>
          <w:rStyle w:val="30"/>
          <w:rFonts w:hint="eastAsia" w:ascii="仿宋_GB2312" w:hAnsi="Times New Roman" w:eastAsia="仿宋_GB2312" w:cs="Times New Roman"/>
          <w:b w:val="0"/>
          <w:bCs w:val="0"/>
        </w:rPr>
        <w:t>四、财政拨款收入支出决算总表</w:t>
      </w:r>
      <w:bookmarkEnd w:id="111"/>
      <w:bookmarkEnd w:id="112"/>
    </w:p>
    <w:p>
      <w:pPr>
        <w:pStyle w:val="4"/>
        <w:spacing w:before="0" w:after="0" w:line="240" w:lineRule="auto"/>
        <w:ind w:firstLine="640" w:firstLineChars="200"/>
        <w:rPr>
          <w:rStyle w:val="30"/>
          <w:rFonts w:hint="eastAsia" w:ascii="仿宋_GB2312" w:hAnsi="Times New Roman" w:eastAsia="仿宋_GB2312" w:cs="Times New Roman"/>
          <w:b w:val="0"/>
          <w:bCs w:val="0"/>
        </w:rPr>
      </w:pPr>
      <w:bookmarkStart w:id="113" w:name="_Toc15396623"/>
      <w:bookmarkStart w:id="114" w:name="_Toc206602921"/>
      <w:r>
        <w:rPr>
          <w:rStyle w:val="30"/>
          <w:rFonts w:hint="eastAsia" w:ascii="仿宋_GB2312" w:hAnsi="Times New Roman" w:eastAsia="仿宋_GB2312" w:cs="Times New Roman"/>
          <w:b w:val="0"/>
          <w:bCs w:val="0"/>
        </w:rPr>
        <w:t>五、财政拨款支出决算明细表</w:t>
      </w:r>
      <w:bookmarkEnd w:id="113"/>
      <w:bookmarkEnd w:id="114"/>
      <w:bookmarkStart w:id="115" w:name="_Toc15396624"/>
    </w:p>
    <w:p>
      <w:pPr>
        <w:pStyle w:val="4"/>
        <w:spacing w:before="0" w:after="0" w:line="240" w:lineRule="auto"/>
        <w:ind w:firstLine="640" w:firstLineChars="200"/>
        <w:rPr>
          <w:rStyle w:val="30"/>
          <w:rFonts w:hint="eastAsia" w:ascii="仿宋_GB2312" w:hAnsi="Times New Roman" w:eastAsia="仿宋_GB2312" w:cs="Times New Roman"/>
          <w:b w:val="0"/>
          <w:bCs w:val="0"/>
        </w:rPr>
      </w:pPr>
      <w:bookmarkStart w:id="116" w:name="_Toc206602922"/>
      <w:r>
        <w:rPr>
          <w:rStyle w:val="30"/>
          <w:rFonts w:hint="eastAsia" w:ascii="仿宋_GB2312" w:hAnsi="Times New Roman" w:eastAsia="仿宋_GB2312" w:cs="Times New Roman"/>
          <w:b w:val="0"/>
          <w:bCs w:val="0"/>
        </w:rPr>
        <w:t>六、一般公共预算财政拨款支出决算表</w:t>
      </w:r>
      <w:bookmarkEnd w:id="115"/>
      <w:bookmarkEnd w:id="116"/>
    </w:p>
    <w:p>
      <w:pPr>
        <w:pStyle w:val="4"/>
        <w:spacing w:before="0" w:after="0" w:line="240" w:lineRule="auto"/>
        <w:ind w:firstLine="640" w:firstLineChars="200"/>
        <w:rPr>
          <w:rStyle w:val="30"/>
          <w:rFonts w:hint="eastAsia" w:ascii="仿宋_GB2312" w:hAnsi="Times New Roman" w:eastAsia="仿宋_GB2312" w:cs="Times New Roman"/>
          <w:b w:val="0"/>
          <w:bCs w:val="0"/>
        </w:rPr>
      </w:pPr>
      <w:bookmarkStart w:id="117" w:name="_Toc206602923"/>
      <w:bookmarkStart w:id="118" w:name="_Toc15396625"/>
      <w:r>
        <w:rPr>
          <w:rStyle w:val="30"/>
          <w:rFonts w:hint="eastAsia" w:ascii="仿宋_GB2312" w:hAnsi="Times New Roman" w:eastAsia="仿宋_GB2312" w:cs="Times New Roman"/>
          <w:b w:val="0"/>
          <w:bCs w:val="0"/>
        </w:rPr>
        <w:t>七、一般公共预算财政拨款支出决算明细表</w:t>
      </w:r>
      <w:bookmarkEnd w:id="117"/>
      <w:bookmarkEnd w:id="118"/>
    </w:p>
    <w:p>
      <w:pPr>
        <w:pStyle w:val="4"/>
        <w:spacing w:before="0" w:after="0" w:line="240" w:lineRule="auto"/>
        <w:ind w:firstLine="640" w:firstLineChars="200"/>
        <w:rPr>
          <w:rStyle w:val="30"/>
          <w:rFonts w:hint="eastAsia" w:ascii="仿宋_GB2312" w:hAnsi="Times New Roman" w:eastAsia="仿宋_GB2312" w:cs="Times New Roman"/>
          <w:b w:val="0"/>
          <w:bCs w:val="0"/>
        </w:rPr>
      </w:pPr>
      <w:bookmarkStart w:id="119" w:name="_Toc206602924"/>
      <w:bookmarkStart w:id="120" w:name="_Toc15396626"/>
      <w:r>
        <w:rPr>
          <w:rStyle w:val="30"/>
          <w:rFonts w:hint="eastAsia" w:ascii="仿宋_GB2312" w:hAnsi="Times New Roman" w:eastAsia="仿宋_GB2312" w:cs="Times New Roman"/>
          <w:b w:val="0"/>
          <w:bCs w:val="0"/>
        </w:rPr>
        <w:t>八、一般公共预算财政拨款基本支出决算表</w:t>
      </w:r>
      <w:bookmarkEnd w:id="119"/>
      <w:bookmarkEnd w:id="120"/>
    </w:p>
    <w:p>
      <w:pPr>
        <w:pStyle w:val="4"/>
        <w:spacing w:before="0" w:after="0" w:line="240" w:lineRule="auto"/>
        <w:ind w:firstLine="640" w:firstLineChars="200"/>
        <w:rPr>
          <w:rStyle w:val="30"/>
          <w:rFonts w:hint="eastAsia" w:ascii="仿宋_GB2312" w:hAnsi="Times New Roman" w:eastAsia="仿宋_GB2312" w:cs="Times New Roman"/>
          <w:b w:val="0"/>
          <w:bCs w:val="0"/>
        </w:rPr>
      </w:pPr>
      <w:bookmarkStart w:id="121" w:name="_Toc206602925"/>
      <w:bookmarkStart w:id="122" w:name="_Toc15396627"/>
      <w:r>
        <w:rPr>
          <w:rStyle w:val="30"/>
          <w:rFonts w:hint="eastAsia" w:ascii="仿宋_GB2312" w:hAnsi="Times New Roman" w:eastAsia="仿宋_GB2312" w:cs="Times New Roman"/>
          <w:b w:val="0"/>
          <w:bCs w:val="0"/>
        </w:rPr>
        <w:t>九、一般公共预算财政拨款项目支出决算表</w:t>
      </w:r>
      <w:bookmarkEnd w:id="121"/>
      <w:bookmarkEnd w:id="122"/>
    </w:p>
    <w:p>
      <w:pPr>
        <w:pStyle w:val="4"/>
        <w:spacing w:before="0" w:after="0" w:line="240" w:lineRule="auto"/>
        <w:ind w:firstLine="640" w:firstLineChars="200"/>
        <w:rPr>
          <w:rStyle w:val="30"/>
          <w:rFonts w:hint="eastAsia" w:ascii="仿宋_GB2312" w:hAnsi="Times New Roman" w:eastAsia="仿宋_GB2312" w:cs="Times New Roman"/>
          <w:b w:val="0"/>
          <w:bCs w:val="0"/>
        </w:rPr>
      </w:pPr>
      <w:bookmarkStart w:id="123" w:name="_Toc15396628"/>
      <w:bookmarkStart w:id="124" w:name="_Toc206602926"/>
      <w:r>
        <w:rPr>
          <w:rStyle w:val="30"/>
          <w:rFonts w:hint="eastAsia" w:ascii="仿宋_GB2312" w:hAnsi="Times New Roman" w:eastAsia="仿宋_GB2312" w:cs="Times New Roman"/>
          <w:b w:val="0"/>
          <w:bCs w:val="0"/>
        </w:rPr>
        <w:t>十、</w:t>
      </w:r>
      <w:bookmarkEnd w:id="123"/>
      <w:r>
        <w:rPr>
          <w:rStyle w:val="30"/>
          <w:rFonts w:hint="eastAsia" w:ascii="仿宋_GB2312" w:hAnsi="Times New Roman" w:eastAsia="仿宋_GB2312" w:cs="Times New Roman"/>
          <w:b w:val="0"/>
          <w:bCs w:val="0"/>
        </w:rPr>
        <w:t>政府性基金预算财政拨款收入支出决算表</w:t>
      </w:r>
      <w:bookmarkEnd w:id="124"/>
    </w:p>
    <w:p>
      <w:pPr>
        <w:pStyle w:val="4"/>
        <w:spacing w:before="0" w:after="0" w:line="240" w:lineRule="auto"/>
        <w:ind w:firstLine="640" w:firstLineChars="200"/>
        <w:rPr>
          <w:rStyle w:val="30"/>
          <w:rFonts w:hint="eastAsia" w:ascii="仿宋_GB2312" w:hAnsi="Times New Roman" w:eastAsia="仿宋_GB2312" w:cs="Times New Roman"/>
          <w:b w:val="0"/>
          <w:bCs w:val="0"/>
        </w:rPr>
      </w:pPr>
      <w:bookmarkStart w:id="125" w:name="_Toc15396629"/>
      <w:bookmarkStart w:id="126" w:name="_Toc206602927"/>
      <w:r>
        <w:rPr>
          <w:rStyle w:val="30"/>
          <w:rFonts w:hint="eastAsia" w:ascii="仿宋_GB2312" w:hAnsi="Times New Roman" w:eastAsia="仿宋_GB2312" w:cs="Times New Roman"/>
          <w:b w:val="0"/>
          <w:bCs w:val="0"/>
        </w:rPr>
        <w:t>十一、</w:t>
      </w:r>
      <w:bookmarkEnd w:id="125"/>
      <w:r>
        <w:rPr>
          <w:rStyle w:val="30"/>
          <w:rFonts w:hint="eastAsia" w:ascii="仿宋_GB2312" w:hAnsi="Times New Roman" w:eastAsia="仿宋_GB2312" w:cs="Times New Roman"/>
          <w:b w:val="0"/>
          <w:bCs w:val="0"/>
        </w:rPr>
        <w:t>国有资本经营预算财政拨款收入支出决算表</w:t>
      </w:r>
      <w:bookmarkEnd w:id="126"/>
    </w:p>
    <w:p>
      <w:pPr>
        <w:pStyle w:val="4"/>
        <w:spacing w:before="0" w:after="0" w:line="240" w:lineRule="auto"/>
        <w:ind w:firstLine="640" w:firstLineChars="200"/>
        <w:rPr>
          <w:rStyle w:val="30"/>
          <w:rFonts w:hint="eastAsia" w:ascii="仿宋_GB2312" w:hAnsi="Times New Roman" w:eastAsia="仿宋_GB2312" w:cs="Times New Roman"/>
          <w:b w:val="0"/>
          <w:bCs w:val="0"/>
        </w:rPr>
      </w:pPr>
      <w:bookmarkStart w:id="127" w:name="_Toc15396630"/>
      <w:bookmarkStart w:id="128" w:name="_Toc206602928"/>
      <w:r>
        <w:rPr>
          <w:rStyle w:val="30"/>
          <w:rFonts w:hint="eastAsia" w:ascii="仿宋_GB2312" w:hAnsi="Times New Roman" w:eastAsia="仿宋_GB2312" w:cs="Times New Roman"/>
          <w:b w:val="0"/>
          <w:bCs w:val="0"/>
        </w:rPr>
        <w:t>十二、</w:t>
      </w:r>
      <w:bookmarkEnd w:id="127"/>
      <w:r>
        <w:rPr>
          <w:rStyle w:val="30"/>
          <w:rFonts w:hint="eastAsia" w:ascii="仿宋_GB2312" w:hAnsi="Times New Roman" w:eastAsia="仿宋_GB2312" w:cs="Times New Roman"/>
          <w:b w:val="0"/>
          <w:bCs w:val="0"/>
        </w:rPr>
        <w:t>国有资本经营预算财政拨款支出决算表</w:t>
      </w:r>
      <w:bookmarkEnd w:id="128"/>
    </w:p>
    <w:p>
      <w:pPr>
        <w:pStyle w:val="4"/>
        <w:spacing w:before="0" w:after="0" w:line="240" w:lineRule="auto"/>
        <w:ind w:firstLine="640" w:firstLineChars="200"/>
        <w:rPr>
          <w:rStyle w:val="30"/>
          <w:rFonts w:hint="eastAsia" w:ascii="仿宋_GB2312" w:hAnsi="Times New Roman" w:eastAsia="仿宋_GB2312" w:cs="Times New Roman"/>
          <w:b w:val="0"/>
          <w:bCs w:val="0"/>
        </w:rPr>
      </w:pPr>
      <w:bookmarkStart w:id="129" w:name="_Toc15396631"/>
      <w:bookmarkStart w:id="130" w:name="_Toc206602929"/>
      <w:r>
        <w:rPr>
          <w:rStyle w:val="30"/>
          <w:rFonts w:hint="eastAsia" w:ascii="仿宋_GB2312" w:hAnsi="Times New Roman" w:eastAsia="仿宋_GB2312" w:cs="Times New Roman"/>
          <w:b w:val="0"/>
          <w:bCs w:val="0"/>
        </w:rPr>
        <w:t>十三、</w:t>
      </w:r>
      <w:bookmarkEnd w:id="129"/>
      <w:r>
        <w:rPr>
          <w:rStyle w:val="30"/>
          <w:rFonts w:hint="eastAsia" w:ascii="仿宋_GB2312" w:hAnsi="Times New Roman" w:eastAsia="仿宋_GB2312" w:cs="Times New Roman"/>
          <w:b w:val="0"/>
          <w:bCs w:val="0"/>
        </w:rPr>
        <w:t>财政拨款“三公”经费支出决算表</w:t>
      </w:r>
      <w:bookmarkEnd w:id="130"/>
    </w:p>
    <w:p/>
    <w:sectPr>
      <w:pgSz w:w="11906" w:h="16838"/>
      <w:pgMar w:top="1440" w:right="1797" w:bottom="1440" w:left="179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0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
    <w:altName w:val="仿宋_GB2312"/>
    <w:panose1 w:val="00000000000000000000"/>
    <w:charset w:val="00"/>
    <w:family w:val="roman"/>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pPr>
          <w:pStyle w:val="10"/>
          <w:jc w:val="center"/>
        </w:pPr>
        <w:r>
          <w:fldChar w:fldCharType="begin"/>
        </w:r>
        <w:r>
          <w:instrText xml:space="preserve">PAGE   \* MERGEFORMAT</w:instrText>
        </w:r>
        <w:r>
          <w:fldChar w:fldCharType="separate"/>
        </w:r>
        <w:r>
          <w:rPr>
            <w:lang w:val="zh-CN"/>
          </w:rPr>
          <w:t>15</w:t>
        </w:r>
        <w:r>
          <w:fldChar w:fldCharType="end"/>
        </w:r>
      </w:p>
    </w:sdtContent>
  </w:sdt>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2A893F"/>
    <w:multiLevelType w:val="singleLevel"/>
    <w:tmpl w:val="BD2A893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466E9"/>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3624"/>
    <w:rsid w:val="00885AF4"/>
    <w:rsid w:val="00890DA1"/>
    <w:rsid w:val="008939CD"/>
    <w:rsid w:val="008B768C"/>
    <w:rsid w:val="008C4DB1"/>
    <w:rsid w:val="008C4EAF"/>
    <w:rsid w:val="008C5176"/>
    <w:rsid w:val="008C7FD0"/>
    <w:rsid w:val="008D5AF9"/>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D3ADE"/>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51AB"/>
    <w:rsid w:val="00DD73B7"/>
    <w:rsid w:val="00DF28BC"/>
    <w:rsid w:val="00DF34B9"/>
    <w:rsid w:val="00E01053"/>
    <w:rsid w:val="00E07ACF"/>
    <w:rsid w:val="00E21C96"/>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1242"/>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9867E8F"/>
    <w:rsid w:val="0A2032A3"/>
    <w:rsid w:val="0B2B6020"/>
    <w:rsid w:val="0C89315E"/>
    <w:rsid w:val="0CA8290A"/>
    <w:rsid w:val="0CB43399"/>
    <w:rsid w:val="0CE01A19"/>
    <w:rsid w:val="0D35B1ED"/>
    <w:rsid w:val="0E254B6B"/>
    <w:rsid w:val="0F98263C"/>
    <w:rsid w:val="101860EC"/>
    <w:rsid w:val="101F47CC"/>
    <w:rsid w:val="10C055FF"/>
    <w:rsid w:val="11694EBD"/>
    <w:rsid w:val="11772AA4"/>
    <w:rsid w:val="118107EC"/>
    <w:rsid w:val="12E24EE2"/>
    <w:rsid w:val="13D50BC4"/>
    <w:rsid w:val="14B17F78"/>
    <w:rsid w:val="15B71EF5"/>
    <w:rsid w:val="165E0673"/>
    <w:rsid w:val="16B831D5"/>
    <w:rsid w:val="16BB723D"/>
    <w:rsid w:val="17E50567"/>
    <w:rsid w:val="186504BB"/>
    <w:rsid w:val="19A445FC"/>
    <w:rsid w:val="1BE8440E"/>
    <w:rsid w:val="1D155CEE"/>
    <w:rsid w:val="1D1638FE"/>
    <w:rsid w:val="1E312DEB"/>
    <w:rsid w:val="1E740ACF"/>
    <w:rsid w:val="1FF35744"/>
    <w:rsid w:val="1FF6BC77"/>
    <w:rsid w:val="2186353C"/>
    <w:rsid w:val="23860B96"/>
    <w:rsid w:val="240371BF"/>
    <w:rsid w:val="244F3473"/>
    <w:rsid w:val="24C97D99"/>
    <w:rsid w:val="25156E5A"/>
    <w:rsid w:val="25A718F0"/>
    <w:rsid w:val="25BB59F6"/>
    <w:rsid w:val="260F557C"/>
    <w:rsid w:val="26970054"/>
    <w:rsid w:val="281408E2"/>
    <w:rsid w:val="28872B9E"/>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51D6555"/>
    <w:rsid w:val="361032FD"/>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BFA2A63"/>
    <w:rsid w:val="3CEBA265"/>
    <w:rsid w:val="3D98207C"/>
    <w:rsid w:val="3DEE7CF3"/>
    <w:rsid w:val="3E740A63"/>
    <w:rsid w:val="3E78745D"/>
    <w:rsid w:val="3EE17838"/>
    <w:rsid w:val="3F55381A"/>
    <w:rsid w:val="3F5964BF"/>
    <w:rsid w:val="3F7F7599"/>
    <w:rsid w:val="3FF4CAE0"/>
    <w:rsid w:val="3FF7B227"/>
    <w:rsid w:val="411432A1"/>
    <w:rsid w:val="44E268DA"/>
    <w:rsid w:val="450D13D7"/>
    <w:rsid w:val="45506656"/>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67E1AA5"/>
    <w:rsid w:val="56E47B74"/>
    <w:rsid w:val="57175D52"/>
    <w:rsid w:val="57BD3DD4"/>
    <w:rsid w:val="5AF92295"/>
    <w:rsid w:val="5B250254"/>
    <w:rsid w:val="5BDD79E6"/>
    <w:rsid w:val="5BF561CA"/>
    <w:rsid w:val="5BFF5DFC"/>
    <w:rsid w:val="5CD71FC4"/>
    <w:rsid w:val="5D1F11B5"/>
    <w:rsid w:val="5D695134"/>
    <w:rsid w:val="5DAE1B18"/>
    <w:rsid w:val="5DE7D9E5"/>
    <w:rsid w:val="5E8D0087"/>
    <w:rsid w:val="5ECEC941"/>
    <w:rsid w:val="5FBF9FF3"/>
    <w:rsid w:val="5FCD4E2C"/>
    <w:rsid w:val="5FEF394A"/>
    <w:rsid w:val="5FF67715"/>
    <w:rsid w:val="61341840"/>
    <w:rsid w:val="615C7039"/>
    <w:rsid w:val="62BF3928"/>
    <w:rsid w:val="63B3701E"/>
    <w:rsid w:val="647F5392"/>
    <w:rsid w:val="65E66580"/>
    <w:rsid w:val="664B1D71"/>
    <w:rsid w:val="664B4E8E"/>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252209"/>
    <w:rsid w:val="70484440"/>
    <w:rsid w:val="712A28F1"/>
    <w:rsid w:val="715C0E4B"/>
    <w:rsid w:val="71992E7C"/>
    <w:rsid w:val="72233669"/>
    <w:rsid w:val="72734D90"/>
    <w:rsid w:val="73160E6D"/>
    <w:rsid w:val="7332FE48"/>
    <w:rsid w:val="73A20401"/>
    <w:rsid w:val="73AB61DA"/>
    <w:rsid w:val="73AD73D5"/>
    <w:rsid w:val="73B6EB34"/>
    <w:rsid w:val="73FA497D"/>
    <w:rsid w:val="744731E5"/>
    <w:rsid w:val="74BBD01D"/>
    <w:rsid w:val="74ED5379"/>
    <w:rsid w:val="75DEEEC2"/>
    <w:rsid w:val="75E32345"/>
    <w:rsid w:val="76E3355F"/>
    <w:rsid w:val="76E8406D"/>
    <w:rsid w:val="76FF5125"/>
    <w:rsid w:val="776F6FFA"/>
    <w:rsid w:val="778769C8"/>
    <w:rsid w:val="779F7CAE"/>
    <w:rsid w:val="77A75DCA"/>
    <w:rsid w:val="77DC22F5"/>
    <w:rsid w:val="783E271A"/>
    <w:rsid w:val="78616DE9"/>
    <w:rsid w:val="78E875D7"/>
    <w:rsid w:val="79086DAD"/>
    <w:rsid w:val="79D7FD79"/>
    <w:rsid w:val="79EE5BA4"/>
    <w:rsid w:val="7A894339"/>
    <w:rsid w:val="7AD284E8"/>
    <w:rsid w:val="7AFF7572"/>
    <w:rsid w:val="7B6C7DFB"/>
    <w:rsid w:val="7BBA37FF"/>
    <w:rsid w:val="7BBFBED0"/>
    <w:rsid w:val="7BC3E394"/>
    <w:rsid w:val="7C1F3737"/>
    <w:rsid w:val="7CBFC87B"/>
    <w:rsid w:val="7CFE0F48"/>
    <w:rsid w:val="7D045B3B"/>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7AE3A55"/>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6"/>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200"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2"/>
    <w:semiHidden/>
    <w:unhideWhenUsed/>
    <w:qFormat/>
    <w:uiPriority w:val="99"/>
    <w:rPr>
      <w:sz w:val="18"/>
      <w:szCs w:val="18"/>
    </w:rPr>
  </w:style>
  <w:style w:type="paragraph" w:styleId="10">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paragraph" w:styleId="15">
    <w:name w:val="Normal (Web)"/>
    <w:basedOn w:val="1"/>
    <w:semiHidden/>
    <w:unhideWhenUsed/>
    <w:qFormat/>
    <w:uiPriority w:val="99"/>
    <w:pPr>
      <w:spacing w:beforeAutospacing="1" w:afterAutospacing="1"/>
      <w:jc w:val="left"/>
    </w:pPr>
    <w:rPr>
      <w:kern w:val="0"/>
      <w:sz w:val="24"/>
    </w:r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1"/>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0"/>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2"/>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7"/>
    <w:link w:val="3"/>
    <w:qFormat/>
    <w:uiPriority w:val="9"/>
    <w:rPr>
      <w:rFonts w:ascii="Times New Roman" w:hAnsi="Times New Roman"/>
      <w:b/>
      <w:bCs/>
      <w:kern w:val="44"/>
      <w:sz w:val="44"/>
      <w:szCs w:val="44"/>
    </w:rPr>
  </w:style>
  <w:style w:type="character" w:customStyle="1" w:styleId="30">
    <w:name w:val="标题 2 Char"/>
    <w:basedOn w:val="17"/>
    <w:link w:val="4"/>
    <w:qFormat/>
    <w:uiPriority w:val="9"/>
    <w:rPr>
      <w:rFonts w:asciiTheme="majorHAnsi" w:hAnsiTheme="majorHAnsi" w:eastAsiaTheme="majorEastAsia" w:cstheme="majorBidi"/>
      <w:b/>
      <w:bCs/>
      <w:kern w:val="2"/>
      <w:sz w:val="32"/>
      <w:szCs w:val="32"/>
    </w:rPr>
  </w:style>
  <w:style w:type="paragraph" w:customStyle="1" w:styleId="3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7"/>
    <w:link w:val="9"/>
    <w:semiHidden/>
    <w:qFormat/>
    <w:uiPriority w:val="99"/>
    <w:rPr>
      <w:rFonts w:ascii="Times New Roman" w:hAnsi="Times New Roman"/>
      <w:kern w:val="2"/>
      <w:sz w:val="18"/>
      <w:szCs w:val="18"/>
    </w:rPr>
  </w:style>
  <w:style w:type="character" w:customStyle="1" w:styleId="33">
    <w:name w:val="标题 3 Char"/>
    <w:basedOn w:val="17"/>
    <w:link w:val="5"/>
    <w:qFormat/>
    <w:uiPriority w:val="9"/>
    <w:rPr>
      <w:rFonts w:ascii="Times New Roman" w:hAnsi="Times New Roman"/>
      <w:b/>
      <w:bCs/>
      <w:kern w:val="2"/>
      <w:sz w:val="32"/>
      <w:szCs w:val="32"/>
    </w:rPr>
  </w:style>
  <w:style w:type="paragraph" w:customStyle="1" w:styleId="34">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color w:val="000000"/>
      <w:kern w:val="0"/>
      <w:sz w:val="28"/>
      <w:szCs w:val="21"/>
      <w:lang w:val="zh-CN"/>
    </w:rPr>
  </w:style>
  <w:style w:type="paragraph" w:customStyle="1" w:styleId="36">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6.emf"/><Relationship Id="rId16" Type="http://schemas.openxmlformats.org/officeDocument/2006/relationships/oleObject" Target="embeddings/oleObject6.bin"/><Relationship Id="rId15" Type="http://schemas.openxmlformats.org/officeDocument/2006/relationships/image" Target="media/image5.emf"/><Relationship Id="rId14" Type="http://schemas.openxmlformats.org/officeDocument/2006/relationships/oleObject" Target="embeddings/oleObject5.bin"/><Relationship Id="rId13" Type="http://schemas.openxmlformats.org/officeDocument/2006/relationships/image" Target="media/image4.emf"/><Relationship Id="rId12" Type="http://schemas.openxmlformats.org/officeDocument/2006/relationships/oleObject" Target="embeddings/oleObject4.bin"/><Relationship Id="rId11" Type="http://schemas.openxmlformats.org/officeDocument/2006/relationships/image" Target="media/image3.e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customShpInfo spid="_x0000_s1028"/>
    <customShpInfo spid="_x0000_s1029"/>
    <customShpInfo spid="_x0000_s1032"/>
    <customShpInfo spid="_x0000_s103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20</Pages>
  <Words>1412</Words>
  <Characters>8050</Characters>
  <Lines>67</Lines>
  <Paragraphs>18</Paragraphs>
  <TotalTime>49</TotalTime>
  <ScaleCrop>false</ScaleCrop>
  <LinksUpToDate>false</LinksUpToDate>
  <CharactersWithSpaces>9444</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2020-08-10T01:49:00Z</dcterms:created>
  <dc:creator>曹颖</dc:creator>
  <cp:lastModifiedBy>予仔</cp:lastModifiedBy>
  <cp:lastPrinted>2025-08-07T09:34:00Z</cp:lastPrinted>
  <dcterms:modified xsi:type="dcterms:W3CDTF">2025-08-26T09:10:13Z</dcterms:modified>
  <dc:title>四川省***</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8CCE64C083788A947509AD68FD69F3FC</vt:lpwstr>
  </property>
</Properties>
</file>