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hint="default" w:ascii="Times New Roman" w:hAnsi="Times New Roman" w:eastAsia="方正小标宋简体" w:cs="Times New Roman"/>
          <w:kern w:val="2"/>
          <w:sz w:val="44"/>
          <w:szCs w:val="44"/>
        </w:rPr>
      </w:pPr>
      <w:bookmarkStart w:id="0" w:name="_Toc15396475"/>
      <w:bookmarkStart w:id="1" w:name="_Toc15377193"/>
      <w:bookmarkStart w:id="2" w:name="_Toc15396597"/>
      <w:bookmarkStart w:id="3" w:name="_Toc15378441"/>
      <w:bookmarkStart w:id="4" w:name="_Toc15377425"/>
      <w:bookmarkStart w:id="5" w:name="_Toc15306267"/>
    </w:p>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44"/>
          <w:szCs w:val="44"/>
        </w:rPr>
      </w:pPr>
    </w:p>
    <w:bookmarkEnd w:id="0"/>
    <w:bookmarkEnd w:id="1"/>
    <w:bookmarkEnd w:id="2"/>
    <w:bookmarkEnd w:id="3"/>
    <w:bookmarkEnd w:id="4"/>
    <w:p>
      <w:pPr>
        <w:pStyle w:val="2"/>
        <w:spacing w:before="93"/>
        <w:jc w:val="center"/>
        <w:rPr>
          <w:rFonts w:hint="default" w:ascii="Times New Roman" w:hAnsi="Times New Roman" w:eastAsia="方正小标宋简体" w:cs="Times New Roman"/>
          <w:kern w:val="2"/>
          <w:sz w:val="60"/>
          <w:szCs w:val="44"/>
        </w:rPr>
      </w:pPr>
      <w:bookmarkStart w:id="6" w:name="_Toc15377194"/>
      <w:bookmarkStart w:id="7" w:name="_Toc15377426"/>
      <w:bookmarkStart w:id="8" w:name="_Toc15378442"/>
      <w:bookmarkStart w:id="9" w:name="_Toc15396598"/>
      <w:bookmarkStart w:id="10" w:name="_Toc15396476"/>
      <w:r>
        <w:rPr>
          <w:rFonts w:hint="default" w:ascii="Times New Roman" w:hAnsi="Times New Roman" w:eastAsia="方正小标宋简体" w:cs="Times New Roman"/>
          <w:kern w:val="2"/>
          <w:sz w:val="60"/>
          <w:szCs w:val="44"/>
        </w:rPr>
        <w:t>2024年度四川省</w:t>
      </w:r>
      <w:bookmarkEnd w:id="5"/>
      <w:bookmarkStart w:id="11" w:name="_Toc15306268"/>
      <w:r>
        <w:rPr>
          <w:rFonts w:hint="default" w:ascii="Times New Roman" w:hAnsi="Times New Roman" w:eastAsia="方正小标宋简体" w:cs="Times New Roman"/>
          <w:kern w:val="2"/>
          <w:sz w:val="60"/>
          <w:szCs w:val="44"/>
        </w:rPr>
        <w:t>遂宁市</w:t>
      </w:r>
    </w:p>
    <w:p>
      <w:pPr>
        <w:pStyle w:val="2"/>
        <w:spacing w:before="93"/>
        <w:jc w:val="center"/>
        <w:rPr>
          <w:rFonts w:hint="default" w:ascii="Times New Roman" w:hAnsi="Times New Roman" w:eastAsia="方正小标宋简体" w:cs="Times New Roman"/>
          <w:kern w:val="2"/>
          <w:sz w:val="60"/>
          <w:szCs w:val="44"/>
        </w:rPr>
      </w:pPr>
      <w:r>
        <w:rPr>
          <w:rFonts w:hint="default" w:ascii="Times New Roman" w:hAnsi="Times New Roman" w:eastAsia="方正小标宋简体" w:cs="Times New Roman"/>
          <w:kern w:val="2"/>
          <w:sz w:val="60"/>
          <w:szCs w:val="44"/>
        </w:rPr>
        <w:t>金融服务中心单位决算</w:t>
      </w:r>
      <w:bookmarkEnd w:id="6"/>
      <w:bookmarkEnd w:id="7"/>
      <w:bookmarkEnd w:id="8"/>
      <w:bookmarkEnd w:id="9"/>
      <w:bookmarkEnd w:id="10"/>
      <w:bookmarkEnd w:id="11"/>
    </w:p>
    <w:p>
      <w:pPr>
        <w:widowControl/>
        <w:jc w:val="center"/>
        <w:rPr>
          <w:rFonts w:hint="default" w:ascii="Times New Roman" w:hAnsi="Times New Roman" w:eastAsia="黑体" w:cs="Times New Roman"/>
          <w:sz w:val="48"/>
          <w:szCs w:val="48"/>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2"/>
        <w:rPr>
          <w:rFonts w:hint="default" w:ascii="Times New Roman" w:hAnsi="Times New Roman" w:cs="Times New Roman"/>
        </w:rPr>
      </w:pPr>
      <w:r>
        <w:rPr>
          <w:rFonts w:hint="default" w:ascii="Times New Roman" w:hAnsi="Times New Roman" w:eastAsia="仿宋_GB2312" w:cs="Times New Roman"/>
          <w:sz w:val="32"/>
          <w:szCs w:val="32"/>
        </w:rPr>
        <w:t>公开时间：202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 8 月 2</w:t>
      </w:r>
      <w:bookmarkStart w:id="81" w:name="_GoBack"/>
      <w:bookmarkEnd w:id="81"/>
      <w:r>
        <w:rPr>
          <w:rFonts w:hint="default" w:ascii="Times New Roman" w:hAnsi="Times New Roman" w:eastAsia="仿宋_GB2312" w:cs="Times New Roman"/>
          <w:sz w:val="32"/>
          <w:szCs w:val="32"/>
        </w:rPr>
        <w:t>2 日</w:t>
      </w:r>
    </w:p>
    <w:sdt>
      <w:sdtPr>
        <w:rPr>
          <w:rFonts w:hint="default" w:ascii="Times New Roman" w:hAnsi="Times New Roman" w:eastAsia="宋体" w:cs="Times New Roman"/>
          <w:kern w:val="2"/>
          <w:sz w:val="21"/>
          <w:szCs w:val="24"/>
          <w:lang w:val="en-US" w:eastAsia="zh-CN" w:bidi="ar-SA"/>
        </w:rPr>
        <w:id w:val="147458184"/>
        <w15:color w:val="DBDBDB"/>
        <w:docPartObj>
          <w:docPartGallery w:val="Table of Contents"/>
          <w:docPartUnique/>
        </w:docPartObj>
      </w:sdtPr>
      <w:sdtEndPr>
        <w:rPr>
          <w:rFonts w:hint="default" w:ascii="Times New Roman" w:hAnsi="Times New Roman" w:eastAsia="仿宋_GB2312" w:cs="Times New Roman"/>
          <w:kern w:val="0"/>
          <w:sz w:val="30"/>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rPr>
          </w:pPr>
        </w:p>
        <w:p>
          <w:pPr>
            <w:pStyle w:val="12"/>
            <w:keepNext w:val="0"/>
            <w:keepLines w:val="0"/>
            <w:pageBreakBefore w:val="0"/>
            <w:widowControl w:val="0"/>
            <w:tabs>
              <w:tab w:val="right" w:leader="dot" w:pos="8312"/>
              <w:tab w:val="clear" w:pos="8296"/>
            </w:tabs>
            <w:kinsoku/>
            <w:wordWrap/>
            <w:overflowPunct/>
            <w:topLinePunct w:val="0"/>
            <w:autoSpaceDE/>
            <w:autoSpaceDN/>
            <w:bidi w:val="0"/>
            <w:adjustRightInd/>
            <w:snapToGrid/>
            <w:spacing w:before="0" w:line="560" w:lineRule="exact"/>
            <w:jc w:val="both"/>
            <w:textAlignment w:val="auto"/>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_Toc8346 </w:instrText>
          </w:r>
          <w:r>
            <w:rPr>
              <w:rFonts w:hint="default" w:ascii="Times New Roman" w:hAnsi="Times New Roman" w:cs="Times New Roman"/>
              <w:sz w:val="32"/>
              <w:szCs w:val="32"/>
            </w:rPr>
            <w:fldChar w:fldCharType="separate"/>
          </w:r>
          <w:r>
            <w:rPr>
              <w:rFonts w:hint="default" w:ascii="Times New Roman" w:hAnsi="Times New Roman" w:eastAsia="方正小标宋简体" w:cs="Times New Roman"/>
              <w:sz w:val="32"/>
              <w:szCs w:val="32"/>
            </w:rPr>
            <w:t xml:space="preserve">第一部分  </w:t>
          </w:r>
          <w:r>
            <w:rPr>
              <w:rFonts w:hint="default" w:ascii="Times New Roman" w:hAnsi="Times New Roman" w:eastAsia="方正小标宋简体" w:cs="Times New Roman"/>
              <w:bCs w:val="0"/>
              <w:sz w:val="32"/>
              <w:szCs w:val="32"/>
            </w:rPr>
            <w:t>单位概况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_Toc8346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_Toc22618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一、单位职责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_Toc22618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_Toc23231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二、机</w:t>
          </w:r>
          <w:r>
            <w:rPr>
              <w:rFonts w:hint="default" w:ascii="Times New Roman" w:hAnsi="Times New Roman" w:eastAsia="黑体" w:cs="Times New Roman"/>
              <w:bCs w:val="0"/>
              <w:sz w:val="32"/>
              <w:szCs w:val="32"/>
            </w:rPr>
            <w:t>构设置</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_Toc23231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2"/>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_Toc29648 </w:instrText>
          </w:r>
          <w:r>
            <w:rPr>
              <w:rFonts w:hint="default" w:ascii="Times New Roman" w:hAnsi="Times New Roman" w:cs="Times New Roman"/>
              <w:sz w:val="32"/>
              <w:szCs w:val="32"/>
            </w:rPr>
            <w:fldChar w:fldCharType="separate"/>
          </w:r>
          <w:r>
            <w:rPr>
              <w:rFonts w:hint="default" w:ascii="Times New Roman" w:hAnsi="Times New Roman" w:eastAsia="方正小标宋简体" w:cs="Times New Roman"/>
              <w:sz w:val="32"/>
              <w:szCs w:val="32"/>
            </w:rPr>
            <w:t>第二部分  2024年度单位决算情况说明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_Toc29648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_Toc12368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一、收入支出决算总体情况说明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_Toc12368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_Toc6463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二、收入决算情况说明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_Toc6463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_Toc1457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三、支出决算情况说明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_Toc1457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_Toc1220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四、财政拨款收入支出决算总体情况说明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_Toc1220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_Toc19031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五、一般公共预算财政拨款支出决算情况说明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_Toc19031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_Toc21587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六、一般公共预算财政拨款基本支出决算情况说明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_Toc21587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_Toc7881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七、财政拨款“三公”经费支出决算情况说明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_Toc7881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_Toc13065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八、政府性基金预算支出决算情况说明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_Toc13065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_Toc30479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九、国有资本经营预算支出决算情况说明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_Toc30479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_Toc21914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rPr>
            <w:t>十、其他重要事项的情况说明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_Toc21914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2"/>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_Toc29525 </w:instrText>
          </w:r>
          <w:r>
            <w:rPr>
              <w:rFonts w:hint="default" w:ascii="Times New Roman" w:hAnsi="Times New Roman" w:cs="Times New Roman"/>
              <w:sz w:val="32"/>
              <w:szCs w:val="32"/>
            </w:rPr>
            <w:fldChar w:fldCharType="separate"/>
          </w:r>
          <w:r>
            <w:rPr>
              <w:rFonts w:hint="default" w:ascii="Times New Roman" w:hAnsi="Times New Roman" w:eastAsia="方正小标宋简体" w:cs="Times New Roman"/>
              <w:sz w:val="32"/>
              <w:szCs w:val="32"/>
            </w:rPr>
            <w:t>第三部分  名词解释</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_Toc29525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2"/>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_Toc645 </w:instrText>
          </w:r>
          <w:r>
            <w:rPr>
              <w:rFonts w:hint="default" w:ascii="Times New Roman" w:hAnsi="Times New Roman" w:cs="Times New Roman"/>
              <w:sz w:val="32"/>
              <w:szCs w:val="32"/>
            </w:rPr>
            <w:fldChar w:fldCharType="separate"/>
          </w:r>
          <w:r>
            <w:rPr>
              <w:rFonts w:hint="default" w:ascii="Times New Roman" w:hAnsi="Times New Roman" w:eastAsia="方正小标宋简体" w:cs="Times New Roman"/>
              <w:sz w:val="32"/>
              <w:szCs w:val="32"/>
            </w:rPr>
            <w:t>第四部分  附件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_Toc645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12</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2"/>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_Toc7809 </w:instrText>
          </w:r>
          <w:r>
            <w:rPr>
              <w:rFonts w:hint="default" w:ascii="Times New Roman" w:hAnsi="Times New Roman" w:cs="Times New Roman"/>
              <w:sz w:val="32"/>
              <w:szCs w:val="32"/>
            </w:rPr>
            <w:fldChar w:fldCharType="separate"/>
          </w:r>
          <w:r>
            <w:rPr>
              <w:rFonts w:hint="default" w:ascii="Times New Roman" w:hAnsi="Times New Roman" w:eastAsia="方正小标宋简体" w:cs="Times New Roman"/>
              <w:sz w:val="32"/>
              <w:szCs w:val="32"/>
            </w:rPr>
            <w:t>第五部分</w:t>
          </w:r>
          <w:r>
            <w:rPr>
              <w:rFonts w:hint="default" w:ascii="Times New Roman" w:hAnsi="Times New Roman" w:eastAsia="方正小标宋简体" w:cs="Times New Roman"/>
              <w:sz w:val="32"/>
              <w:szCs w:val="32"/>
              <w:lang w:val="en-US" w:eastAsia="zh-CN"/>
            </w:rPr>
            <w:t xml:space="preserve">  </w:t>
          </w:r>
          <w:r>
            <w:rPr>
              <w:rFonts w:hint="default" w:ascii="Times New Roman" w:hAnsi="Times New Roman" w:eastAsia="方正小标宋简体" w:cs="Times New Roman"/>
              <w:sz w:val="32"/>
              <w:szCs w:val="32"/>
            </w:rPr>
            <w:t>附表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_Toc7809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_Toc9684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一、收入支出决算总表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_Toc9684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_Toc5684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二、收入决算表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_Toc5684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_Toc10620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三、支出决算表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_Toc10620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_Toc7188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四、财政拨款收入支出决算总表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_Toc7188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_Toc29165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五、财政拨款支出决算明细表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_Toc29165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_Toc3764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六、一般公共预算财政拨款支出决算表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_Toc3764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_Toc10207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七、一般公共预算财政拨款支出决算明细表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_Toc10207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_Toc28301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八、一般公共预算财政拨款基本支出决算表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_Toc28301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_Toc486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九、一般公共预算财政拨款项目支出决算表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_Toc486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_Toc30686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十、政府性基金预算财政拨款收入支出决算表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_Toc30686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_Toc4953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十一、国有资本经营预算财政拨款收入支出决算表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_Toc4953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_Toc24690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十二、国有资本经营预算财政拨款支出决算表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_Toc24690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312"/>
              <w:tab w:val="clear" w:pos="8296"/>
            </w:tabs>
            <w:rPr>
              <w:rFonts w:hint="default" w:ascii="Times New Roman" w:hAnsi="Times New Roman" w:cs="Times New Roma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_Toc4988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十三、财政拨款“三公”经费支出决算表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_Toc4988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
            <w:spacing w:before="93"/>
            <w:rPr>
              <w:rFonts w:hint="default" w:ascii="Times New Roman" w:hAnsi="Times New Roman" w:cs="Times New Roman"/>
            </w:rPr>
          </w:pPr>
          <w:r>
            <w:rPr>
              <w:rFonts w:hint="default" w:ascii="Times New Roman" w:hAnsi="Times New Roman" w:cs="Times New Roman"/>
            </w:rPr>
            <w:fldChar w:fldCharType="end"/>
          </w:r>
        </w:p>
      </w:sdtContent>
    </w:sdt>
    <w:p>
      <w:pPr>
        <w:pStyle w:val="2"/>
        <w:spacing w:before="93"/>
        <w:rPr>
          <w:rFonts w:hint="default" w:ascii="Times New Roman" w:hAnsi="Times New Roman" w:cs="Times New Roman"/>
        </w:rPr>
      </w:pPr>
    </w:p>
    <w:p>
      <w:pPr>
        <w:widowControl/>
        <w:spacing w:line="560" w:lineRule="exact"/>
        <w:jc w:val="left"/>
        <w:rPr>
          <w:rFonts w:hint="default" w:ascii="Times New Roman" w:hAnsi="Times New Roman" w:eastAsia="仿宋_GB2312" w:cs="Times New Roman"/>
          <w:b/>
          <w:sz w:val="32"/>
          <w:szCs w:val="32"/>
        </w:rPr>
        <w:sectPr>
          <w:pgSz w:w="11906" w:h="16838"/>
          <w:pgMar w:top="1440" w:right="1797" w:bottom="1440" w:left="1797" w:header="851" w:footer="992" w:gutter="0"/>
          <w:pgNumType w:start="1"/>
          <w:cols w:space="425" w:num="1"/>
          <w:docGrid w:type="lines" w:linePitch="312" w:charSpace="0"/>
        </w:sectPr>
      </w:pPr>
      <w:bookmarkStart w:id="12" w:name="_Toc15377196"/>
      <w:bookmarkStart w:id="13" w:name="_Toc15396599"/>
      <w:r>
        <w:rPr>
          <w:rFonts w:hint="default" w:ascii="Times New Roman" w:hAnsi="Times New Roman" w:eastAsia="仿宋_GB2312" w:cs="Times New Roman"/>
          <w:b/>
          <w:sz w:val="32"/>
          <w:szCs w:val="32"/>
        </w:rPr>
        <w:br w:type="page"/>
      </w:r>
    </w:p>
    <w:p>
      <w:pPr>
        <w:pStyle w:val="3"/>
        <w:jc w:val="center"/>
        <w:rPr>
          <w:rStyle w:val="29"/>
          <w:rFonts w:hint="default" w:ascii="Times New Roman" w:hAnsi="Times New Roman" w:eastAsia="方正小标宋简体" w:cs="Times New Roman"/>
          <w:b/>
          <w:bCs w:val="0"/>
        </w:rPr>
      </w:pPr>
      <w:bookmarkStart w:id="14" w:name="_Toc8346"/>
      <w:r>
        <w:rPr>
          <w:rFonts w:hint="default" w:ascii="Times New Roman" w:hAnsi="Times New Roman" w:eastAsia="方正小标宋简体" w:cs="Times New Roman"/>
          <w:b w:val="0"/>
        </w:rPr>
        <w:t xml:space="preserve">第一部分  </w:t>
      </w:r>
      <w:r>
        <w:rPr>
          <w:rStyle w:val="29"/>
          <w:rFonts w:hint="default" w:ascii="Times New Roman" w:hAnsi="Times New Roman" w:eastAsia="方正小标宋简体" w:cs="Times New Roman"/>
          <w:b w:val="0"/>
          <w:bCs w:val="0"/>
        </w:rPr>
        <w:t>单位概况</w:t>
      </w:r>
      <w:bookmarkEnd w:id="12"/>
      <w:bookmarkEnd w:id="13"/>
      <w:bookmarkEnd w:id="14"/>
    </w:p>
    <w:p>
      <w:pPr>
        <w:widowControl/>
        <w:jc w:val="left"/>
        <w:rPr>
          <w:rFonts w:hint="default" w:ascii="Times New Roman" w:hAnsi="Times New Roman" w:eastAsia="黑体" w:cs="Times New Roman"/>
          <w:sz w:val="32"/>
          <w:szCs w:val="32"/>
        </w:rPr>
      </w:pPr>
    </w:p>
    <w:p>
      <w:pPr>
        <w:pStyle w:val="4"/>
        <w:numPr>
          <w:ilvl w:val="0"/>
          <w:numId w:val="1"/>
        </w:numPr>
        <w:rPr>
          <w:rFonts w:hint="default" w:ascii="Times New Roman" w:hAnsi="Times New Roman" w:eastAsia="黑体" w:cs="Times New Roman"/>
          <w:b w:val="0"/>
        </w:rPr>
      </w:pPr>
      <w:bookmarkStart w:id="15" w:name="_Toc22618"/>
      <w:r>
        <w:rPr>
          <w:rFonts w:hint="default" w:ascii="Times New Roman" w:hAnsi="Times New Roman" w:eastAsia="黑体" w:cs="Times New Roman"/>
          <w:b w:val="0"/>
        </w:rPr>
        <w:t>单位职责</w:t>
      </w:r>
      <w:bookmarkEnd w:id="15"/>
    </w:p>
    <w:p>
      <w:pPr>
        <w:snapToGrid w:val="0"/>
        <w:spacing w:line="520" w:lineRule="exact"/>
        <w:ind w:firstLine="420" w:firstLineChars="20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承担金融发展研究、金融信息化建设、金融领域合作交流等事务性、服务性工作。</w:t>
      </w:r>
    </w:p>
    <w:p>
      <w:pPr>
        <w:pStyle w:val="4"/>
        <w:rPr>
          <w:rStyle w:val="30"/>
          <w:rFonts w:hint="default" w:ascii="Times New Roman" w:hAnsi="Times New Roman" w:cs="Times New Roman"/>
          <w:b w:val="0"/>
          <w:bCs w:val="0"/>
        </w:rPr>
      </w:pPr>
      <w:bookmarkStart w:id="16" w:name="_Toc15377200"/>
      <w:bookmarkStart w:id="17" w:name="_Toc15396601"/>
      <w:bookmarkStart w:id="18" w:name="_Toc23231"/>
      <w:r>
        <w:rPr>
          <w:rFonts w:hint="default" w:ascii="Times New Roman" w:hAnsi="Times New Roman" w:eastAsia="黑体" w:cs="Times New Roman"/>
          <w:b w:val="0"/>
        </w:rPr>
        <w:t>二、机</w:t>
      </w:r>
      <w:r>
        <w:rPr>
          <w:rStyle w:val="30"/>
          <w:rFonts w:hint="default" w:ascii="Times New Roman" w:hAnsi="Times New Roman" w:eastAsia="黑体" w:cs="Times New Roman"/>
          <w:b w:val="0"/>
          <w:bCs w:val="0"/>
        </w:rPr>
        <w:t>构设置</w:t>
      </w:r>
      <w:bookmarkEnd w:id="16"/>
      <w:bookmarkEnd w:id="17"/>
      <w:bookmarkEnd w:id="18"/>
    </w:p>
    <w:p>
      <w:pPr>
        <w:ind w:firstLine="800" w:firstLineChars="250"/>
        <w:rPr>
          <w:rFonts w:hint="default" w:ascii="Times New Roman" w:hAnsi="Times New Roman" w:eastAsia="仿宋" w:cs="Times New Roman"/>
          <w:kern w:val="0"/>
          <w:sz w:val="32"/>
          <w:szCs w:val="32"/>
        </w:rPr>
      </w:pPr>
      <w:r>
        <w:rPr>
          <w:rFonts w:hint="default" w:ascii="Times New Roman" w:hAnsi="Times New Roman" w:eastAsia="仿宋_GB2312" w:cs="Times New Roman"/>
          <w:sz w:val="32"/>
          <w:szCs w:val="32"/>
        </w:rPr>
        <w:t>遂宁市金融服务中心为市财政局下属公益一类事业单位，核定编制7名，正科级1名，副科级1名。</w:t>
      </w:r>
      <w:r>
        <w:rPr>
          <w:rFonts w:hint="default" w:ascii="Times New Roman" w:hAnsi="Times New Roman" w:eastAsia="仿宋" w:cs="Times New Roman"/>
          <w:sz w:val="32"/>
          <w:szCs w:val="32"/>
        </w:rPr>
        <w:br w:type="page"/>
      </w:r>
    </w:p>
    <w:p>
      <w:pPr>
        <w:pStyle w:val="3"/>
        <w:jc w:val="center"/>
        <w:rPr>
          <w:rFonts w:hint="default" w:ascii="Times New Roman" w:hAnsi="Times New Roman" w:eastAsia="方正小标宋简体" w:cs="Times New Roman"/>
          <w:b w:val="0"/>
        </w:rPr>
      </w:pPr>
      <w:bookmarkStart w:id="19" w:name="_Toc15396602"/>
      <w:bookmarkStart w:id="20" w:name="_Toc29648"/>
      <w:bookmarkStart w:id="21" w:name="_Toc15377204"/>
      <w:r>
        <w:rPr>
          <w:rFonts w:hint="default" w:ascii="Times New Roman" w:hAnsi="Times New Roman" w:eastAsia="方正小标宋简体" w:cs="Times New Roman"/>
          <w:b w:val="0"/>
        </w:rPr>
        <w:t>第二部分  2024年度单位决算情况说明</w:t>
      </w:r>
      <w:bookmarkEnd w:id="19"/>
      <w:bookmarkEnd w:id="20"/>
      <w:bookmarkEnd w:id="21"/>
    </w:p>
    <w:p>
      <w:pPr>
        <w:rPr>
          <w:rFonts w:hint="default" w:ascii="Times New Roman" w:hAnsi="Times New Roman" w:cs="Times New Roman"/>
        </w:rPr>
      </w:pPr>
    </w:p>
    <w:p>
      <w:pPr>
        <w:pStyle w:val="28"/>
        <w:spacing w:line="600" w:lineRule="exact"/>
        <w:ind w:firstLine="640"/>
        <w:outlineLvl w:val="1"/>
        <w:rPr>
          <w:rStyle w:val="30"/>
          <w:rFonts w:hint="default" w:ascii="Times New Roman" w:hAnsi="Times New Roman" w:eastAsia="黑体" w:cs="Times New Roman"/>
          <w:b w:val="0"/>
        </w:rPr>
      </w:pPr>
      <w:bookmarkStart w:id="22" w:name="_Toc15396603"/>
      <w:bookmarkStart w:id="23" w:name="_Toc15377205"/>
      <w:bookmarkStart w:id="24" w:name="_Toc12368"/>
      <w:r>
        <w:rPr>
          <w:rFonts w:hint="default" w:ascii="Times New Roman" w:hAnsi="Times New Roman" w:eastAsia="黑体" w:cs="Times New Roman"/>
          <w:sz w:val="32"/>
          <w:szCs w:val="32"/>
        </w:rPr>
        <w:t>一、收</w:t>
      </w:r>
      <w:r>
        <w:rPr>
          <w:rStyle w:val="30"/>
          <w:rFonts w:hint="default" w:ascii="Times New Roman" w:hAnsi="Times New Roman" w:eastAsia="黑体" w:cs="Times New Roman"/>
          <w:b w:val="0"/>
        </w:rPr>
        <w:t>入支出决算总体情况说明</w:t>
      </w:r>
      <w:bookmarkEnd w:id="22"/>
      <w:bookmarkEnd w:id="23"/>
      <w:bookmarkEnd w:id="24"/>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2024年度收入、支出总计均为50.03万元。因单位为新成立的事业单位，与2023年无法进行比较。</w:t>
      </w:r>
    </w:p>
    <w:p>
      <w:pPr>
        <w:pStyle w:val="28"/>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drawing>
          <wp:anchor distT="0" distB="0" distL="114300" distR="114300" simplePos="0" relativeHeight="251659264" behindDoc="0" locked="0" layoutInCell="1" allowOverlap="1">
            <wp:simplePos x="0" y="0"/>
            <wp:positionH relativeFrom="column">
              <wp:posOffset>394970</wp:posOffset>
            </wp:positionH>
            <wp:positionV relativeFrom="paragraph">
              <wp:posOffset>186055</wp:posOffset>
            </wp:positionV>
            <wp:extent cx="5080000" cy="3810000"/>
            <wp:effectExtent l="4445" t="4445" r="2095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（图1：收入、支出决算总计变动情况图）（柱状图）</w:t>
      </w:r>
    </w:p>
    <w:p>
      <w:pPr>
        <w:pStyle w:val="28"/>
        <w:spacing w:line="600" w:lineRule="exact"/>
        <w:ind w:firstLine="640"/>
        <w:outlineLvl w:val="1"/>
        <w:rPr>
          <w:rFonts w:hint="default" w:ascii="Times New Roman" w:hAnsi="Times New Roman" w:eastAsia="黑体" w:cs="Times New Roman"/>
          <w:sz w:val="32"/>
          <w:szCs w:val="32"/>
        </w:rPr>
      </w:pPr>
      <w:bookmarkStart w:id="25" w:name="_Toc6463"/>
      <w:bookmarkStart w:id="26" w:name="_Toc15377206"/>
      <w:bookmarkStart w:id="27" w:name="_Toc15396604"/>
      <w:r>
        <w:rPr>
          <w:rFonts w:hint="default" w:ascii="Times New Roman" w:hAnsi="Times New Roman" w:eastAsia="黑体" w:cs="Times New Roman"/>
          <w:sz w:val="32"/>
          <w:szCs w:val="32"/>
        </w:rPr>
        <w:t>二、收入决算情况说明</w:t>
      </w:r>
      <w:bookmarkEnd w:id="25"/>
      <w:bookmarkEnd w:id="26"/>
      <w:bookmarkEnd w:id="27"/>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50.03万元，其中：一般公共预算财政拨款收入50.03万元，占100%；政府性基金预算财政拨款收入0万元，占0%%；国有资本经营预算财政拨款收入0万元，占0%；上级补助收入0万元，占0%；事业收入0万元，占0%；经营收入0万元，占0%；附属单位上缴收入0万元，占0%；其他收入0万元，占0%。</w:t>
      </w:r>
    </w:p>
    <w:p>
      <w:pPr>
        <w:pStyle w:val="28"/>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drawing>
          <wp:anchor distT="0" distB="0" distL="114300" distR="114300" simplePos="0" relativeHeight="251660288" behindDoc="0" locked="0" layoutInCell="1" allowOverlap="1">
            <wp:simplePos x="0" y="0"/>
            <wp:positionH relativeFrom="column">
              <wp:posOffset>277495</wp:posOffset>
            </wp:positionH>
            <wp:positionV relativeFrom="paragraph">
              <wp:posOffset>280670</wp:posOffset>
            </wp:positionV>
            <wp:extent cx="5080000" cy="381000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（图2：收入决算结构图）（饼状图）</w:t>
      </w:r>
    </w:p>
    <w:p>
      <w:pPr>
        <w:pStyle w:val="28"/>
        <w:spacing w:line="600" w:lineRule="exact"/>
        <w:ind w:firstLine="640"/>
        <w:outlineLvl w:val="1"/>
        <w:rPr>
          <w:rStyle w:val="30"/>
          <w:rFonts w:hint="default" w:ascii="Times New Roman" w:hAnsi="Times New Roman" w:eastAsia="黑体" w:cs="Times New Roman"/>
          <w:b w:val="0"/>
        </w:rPr>
      </w:pPr>
      <w:bookmarkStart w:id="28" w:name="_Toc15396605"/>
      <w:bookmarkStart w:id="29" w:name="_Toc15377207"/>
      <w:bookmarkStart w:id="30" w:name="_Toc1457"/>
      <w:r>
        <w:rPr>
          <w:rFonts w:hint="default" w:ascii="Times New Roman" w:hAnsi="Times New Roman" w:eastAsia="黑体" w:cs="Times New Roman"/>
          <w:sz w:val="32"/>
          <w:szCs w:val="32"/>
        </w:rPr>
        <w:t>三、支</w:t>
      </w:r>
      <w:r>
        <w:rPr>
          <w:rStyle w:val="30"/>
          <w:rFonts w:hint="default" w:ascii="Times New Roman" w:hAnsi="Times New Roman" w:eastAsia="黑体" w:cs="Times New Roman"/>
          <w:b w:val="0"/>
        </w:rPr>
        <w:t>出决算情况说明</w:t>
      </w:r>
      <w:bookmarkEnd w:id="28"/>
      <w:bookmarkEnd w:id="29"/>
      <w:bookmarkEnd w:id="30"/>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2024年度本年支出合计50.03万元，其中：基本支出50.03万元，占100%；项目支出0万元，占0%；上缴上级支出0万元，占0%；经营支出0万元，占0%；对附属单位补助支出0万元，占0%。</w:t>
      </w: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0" w:firstLineChars="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shd w:val="pct10" w:color="auto" w:fill="FFFFFF"/>
        </w:rPr>
        <w:drawing>
          <wp:anchor distT="0" distB="0" distL="114300" distR="114300" simplePos="0" relativeHeight="251661312" behindDoc="0" locked="0" layoutInCell="1" allowOverlap="1">
            <wp:simplePos x="0" y="0"/>
            <wp:positionH relativeFrom="column">
              <wp:posOffset>394970</wp:posOffset>
            </wp:positionH>
            <wp:positionV relativeFrom="page">
              <wp:posOffset>1013460</wp:posOffset>
            </wp:positionV>
            <wp:extent cx="4537075" cy="3180715"/>
            <wp:effectExtent l="4445" t="4445" r="11430" b="1524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pStyle w:val="28"/>
        <w:spacing w:line="600" w:lineRule="exact"/>
        <w:ind w:firstLine="640"/>
        <w:jc w:val="left"/>
        <w:outlineLvl w:val="1"/>
        <w:rPr>
          <w:rFonts w:hint="default" w:ascii="Times New Roman" w:hAnsi="Times New Roman" w:eastAsia="仿宋_GB2312" w:cs="Times New Roman"/>
          <w:sz w:val="32"/>
          <w:szCs w:val="32"/>
        </w:rPr>
      </w:pP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（图3：支出决算结构图）（饼状图）</w:t>
      </w:r>
    </w:p>
    <w:p>
      <w:pPr>
        <w:spacing w:line="600" w:lineRule="exact"/>
        <w:ind w:firstLine="640" w:firstLineChars="200"/>
        <w:outlineLvl w:val="1"/>
        <w:rPr>
          <w:rStyle w:val="30"/>
          <w:rFonts w:hint="default" w:ascii="Times New Roman" w:hAnsi="Times New Roman" w:eastAsia="黑体" w:cs="Times New Roman"/>
          <w:b w:val="0"/>
        </w:rPr>
      </w:pPr>
      <w:bookmarkStart w:id="31" w:name="_Toc1220"/>
      <w:bookmarkStart w:id="32" w:name="_Toc15396606"/>
      <w:bookmarkStart w:id="33" w:name="_Toc15377208"/>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31"/>
      <w:bookmarkEnd w:id="32"/>
      <w:bookmarkEnd w:id="33"/>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2024年度财政拨款收入、支出总计均为50.03万元。因单位为新成立的事业单位，与2023年无法进行比较。</w:t>
      </w:r>
    </w:p>
    <w:p>
      <w:pPr>
        <w:pStyle w:val="28"/>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drawing>
          <wp:anchor distT="0" distB="0" distL="114300" distR="114300" simplePos="0" relativeHeight="251662336" behindDoc="0" locked="0" layoutInCell="1" allowOverlap="1">
            <wp:simplePos x="0" y="0"/>
            <wp:positionH relativeFrom="column">
              <wp:posOffset>363220</wp:posOffset>
            </wp:positionH>
            <wp:positionV relativeFrom="paragraph">
              <wp:posOffset>41910</wp:posOffset>
            </wp:positionV>
            <wp:extent cx="4765675" cy="3315335"/>
            <wp:effectExtent l="4445" t="4445" r="11430" b="1397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（图4：财政拨款收、支决算总计变动情况）（柱状图）</w:t>
      </w:r>
    </w:p>
    <w:p>
      <w:pPr>
        <w:spacing w:line="600" w:lineRule="exact"/>
        <w:ind w:firstLine="640" w:firstLineChars="200"/>
        <w:outlineLvl w:val="1"/>
        <w:rPr>
          <w:rStyle w:val="30"/>
          <w:rFonts w:hint="default" w:ascii="Times New Roman" w:hAnsi="Times New Roman" w:eastAsia="黑体" w:cs="Times New Roman"/>
          <w:b w:val="0"/>
        </w:rPr>
      </w:pPr>
      <w:bookmarkStart w:id="34" w:name="_Toc15377209"/>
      <w:bookmarkStart w:id="35" w:name="_Toc15396607"/>
      <w:bookmarkStart w:id="36" w:name="_Toc19031"/>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34"/>
      <w:bookmarkEnd w:id="35"/>
      <w:bookmarkEnd w:id="36"/>
    </w:p>
    <w:p>
      <w:pPr>
        <w:ind w:firstLine="803" w:firstLineChars="250"/>
        <w:rPr>
          <w:rFonts w:hint="default" w:ascii="Times New Roman" w:hAnsi="Times New Roman" w:eastAsia="楷体_GB2312" w:cs="Times New Roman"/>
          <w:b/>
          <w:bCs/>
          <w:sz w:val="32"/>
          <w:szCs w:val="32"/>
        </w:rPr>
      </w:pPr>
      <w:bookmarkStart w:id="37" w:name="_Toc15377210"/>
      <w:r>
        <w:rPr>
          <w:rFonts w:hint="default" w:ascii="Times New Roman" w:hAnsi="Times New Roman" w:eastAsia="楷体_GB2312" w:cs="Times New Roman"/>
          <w:b/>
          <w:bCs/>
          <w:sz w:val="32"/>
          <w:szCs w:val="32"/>
        </w:rPr>
        <w:t>（一）一般公共预算财政拨款支出决算总体情况</w:t>
      </w:r>
      <w:bookmarkEnd w:id="37"/>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2024年度一般公共预算财政拨款支出50.03万元，占本年支出合计的100%。因单位为新成立的事业单位，与2023年无法进行比较。</w:t>
      </w:r>
    </w:p>
    <w:p>
      <w:pPr>
        <w:pStyle w:val="28"/>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drawing>
          <wp:anchor distT="0" distB="0" distL="114300" distR="114300" simplePos="0" relativeHeight="251663360" behindDoc="0" locked="0" layoutInCell="1" allowOverlap="1">
            <wp:simplePos x="0" y="0"/>
            <wp:positionH relativeFrom="column">
              <wp:posOffset>439420</wp:posOffset>
            </wp:positionH>
            <wp:positionV relativeFrom="paragraph">
              <wp:posOffset>309245</wp:posOffset>
            </wp:positionV>
            <wp:extent cx="4318635" cy="2676525"/>
            <wp:effectExtent l="4445" t="4445" r="20320" b="50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pStyle w:val="28"/>
        <w:spacing w:line="600" w:lineRule="exact"/>
        <w:ind w:firstLine="640"/>
        <w:outlineLvl w:val="1"/>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（图5：一般公共预算财政拨款支出决算变动情况）（柱状图）</w:t>
      </w:r>
    </w:p>
    <w:p>
      <w:pPr>
        <w:ind w:firstLine="803" w:firstLineChars="250"/>
        <w:rPr>
          <w:rFonts w:hint="default" w:ascii="Times New Roman" w:hAnsi="Times New Roman" w:eastAsia="楷体_GB2312" w:cs="Times New Roman"/>
          <w:b/>
          <w:bCs/>
          <w:sz w:val="32"/>
          <w:szCs w:val="32"/>
        </w:rPr>
      </w:pPr>
      <w:bookmarkStart w:id="38" w:name="_Toc15377211"/>
      <w:r>
        <w:rPr>
          <w:rFonts w:hint="default" w:ascii="Times New Roman" w:hAnsi="Times New Roman" w:eastAsia="楷体_GB2312" w:cs="Times New Roman"/>
          <w:b/>
          <w:bCs/>
          <w:sz w:val="32"/>
          <w:szCs w:val="32"/>
        </w:rPr>
        <w:t>（二）一般公共预算财政拨款支出决算结构情况</w:t>
      </w:r>
      <w:bookmarkEnd w:id="38"/>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50.03万元，主要用于以下方面：一般公共服务支出36.48万元，占72.91%；社会保障和就业支出5.15万元，占10.29%；卫生健康支出2.19万元，占4.38%；金融支出1.81万元，占3.61%；住房保障支出4.41万元，占8.81%。</w:t>
      </w:r>
    </w:p>
    <w:p>
      <w:pPr>
        <w:pStyle w:val="2"/>
        <w:spacing w:before="93"/>
        <w:rPr>
          <w:rFonts w:hint="default" w:ascii="Times New Roman" w:hAnsi="Times New Roman" w:cs="Times New Roman"/>
          <w:kern w:val="2"/>
          <w:sz w:val="32"/>
          <w:szCs w:val="32"/>
        </w:rPr>
      </w:pP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drawing>
          <wp:anchor distT="0" distB="0" distL="114300" distR="114300" simplePos="0" relativeHeight="251664384" behindDoc="0" locked="0" layoutInCell="1" allowOverlap="1">
            <wp:simplePos x="0" y="0"/>
            <wp:positionH relativeFrom="column">
              <wp:posOffset>153670</wp:posOffset>
            </wp:positionH>
            <wp:positionV relativeFrom="paragraph">
              <wp:posOffset>-20320</wp:posOffset>
            </wp:positionV>
            <wp:extent cx="5080000" cy="3810000"/>
            <wp:effectExtent l="4445" t="4445" r="20955" b="1460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pStyle w:val="2"/>
        <w:spacing w:before="93"/>
        <w:rPr>
          <w:rFonts w:hint="default" w:ascii="Times New Roman" w:hAnsi="Times New Roman" w:cs="Times New Roman"/>
          <w:kern w:val="2"/>
          <w:sz w:val="32"/>
          <w:szCs w:val="32"/>
        </w:rPr>
      </w:pPr>
    </w:p>
    <w:p>
      <w:pPr>
        <w:pStyle w:val="2"/>
        <w:spacing w:before="93"/>
        <w:rPr>
          <w:rFonts w:hint="default" w:ascii="Times New Roman" w:hAnsi="Times New Roman" w:cs="Times New Roman"/>
          <w:kern w:val="2"/>
          <w:sz w:val="32"/>
          <w:szCs w:val="32"/>
        </w:rPr>
      </w:pPr>
    </w:p>
    <w:p>
      <w:pPr>
        <w:pStyle w:val="2"/>
        <w:spacing w:before="93"/>
        <w:rPr>
          <w:rFonts w:hint="default" w:ascii="Times New Roman" w:hAnsi="Times New Roman" w:cs="Times New Roman"/>
          <w:kern w:val="2"/>
          <w:sz w:val="32"/>
          <w:szCs w:val="32"/>
        </w:rPr>
      </w:pPr>
    </w:p>
    <w:p>
      <w:pPr>
        <w:pStyle w:val="2"/>
        <w:spacing w:before="93"/>
        <w:rPr>
          <w:rFonts w:hint="default" w:ascii="Times New Roman" w:hAnsi="Times New Roman" w:cs="Times New Roman"/>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pPr>
        <w:ind w:firstLine="803" w:firstLineChars="250"/>
        <w:rPr>
          <w:rFonts w:hint="default" w:ascii="Times New Roman" w:hAnsi="Times New Roman" w:eastAsia="楷体_GB2312" w:cs="Times New Roman"/>
          <w:b/>
          <w:bCs/>
          <w:sz w:val="32"/>
          <w:szCs w:val="32"/>
        </w:rPr>
      </w:pPr>
      <w:bookmarkStart w:id="39" w:name="_Toc15377212"/>
      <w:r>
        <w:rPr>
          <w:rFonts w:hint="default" w:ascii="Times New Roman" w:hAnsi="Times New Roman" w:eastAsia="楷体_GB2312" w:cs="Times New Roman"/>
          <w:b/>
          <w:bCs/>
          <w:sz w:val="32"/>
          <w:szCs w:val="32"/>
        </w:rPr>
        <w:t>（三）一般公共预算财政拨款支出决算具体情况</w:t>
      </w:r>
      <w:bookmarkEnd w:id="39"/>
    </w:p>
    <w:p>
      <w:pPr>
        <w:spacing w:line="600" w:lineRule="exact"/>
        <w:ind w:firstLine="640"/>
        <w:rPr>
          <w:rFonts w:hint="default" w:ascii="Times New Roman" w:hAnsi="Times New Roman" w:eastAsia="仿宋_GB2312" w:cs="Times New Roman"/>
          <w:sz w:val="32"/>
          <w:szCs w:val="32"/>
        </w:rPr>
      </w:pPr>
      <w:bookmarkStart w:id="40" w:name="_Toc15378460"/>
      <w:bookmarkStart w:id="41" w:name="_Toc15377444"/>
      <w:bookmarkStart w:id="42" w:name="_Toc15377213"/>
      <w:r>
        <w:rPr>
          <w:rFonts w:hint="default" w:ascii="Times New Roman" w:hAnsi="Times New Roman" w:eastAsia="仿宋_GB2312" w:cs="Times New Roman"/>
          <w:sz w:val="32"/>
          <w:szCs w:val="32"/>
        </w:rPr>
        <w:t>2024年度一般公共预算财政拨款支出决算数为50.03，完成预算100%。其中：</w:t>
      </w:r>
      <w:bookmarkEnd w:id="40"/>
      <w:bookmarkEnd w:id="41"/>
      <w:bookmarkEnd w:id="42"/>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1.一般公共服务（类）财政事务（款）事业运行（项）：支出决算为36.84万元，完成预算77.44%。因2024年单位预算为划拨，未完全按照单位实际人员进行预算，所以决算完成情况有一定的误差。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保障和就业（类）行政事业单位养老支出（款）机关事业单位基本养老保险缴费支出（项）：支出决算为5.15万元，完成预算74.96%。因2024年单位预算为划拨，未完全按照单位实际人员进行预算，所以预算完成情况有一定的误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3.卫生健康（类）行政事业单位医疗（款）事业单位医疗（项）：支出决算为2.19万元，完成预算81.41%。因2024年单位预算为划拨，未完全按照单位实际人员进行预算，所以决算完成情况有一定的误差。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4.金融（类）金融部门行政支出（款）事业运行（项）：支出决算为1.81万元，完成预算94.27%。因2024年单位预算为划拨，未完全按照单位实际人员进行预算，所以决算成情况有一定的误差。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5.住房保障（类）住房改革支出（款）住房公积金（项）：支出决算为4.41万元，完成预算81.82%。因2024年单位预算为划拨，未完全按照单位实际人员进行预算，所以决算完成情况有一定的误差。</w:t>
      </w:r>
    </w:p>
    <w:p>
      <w:pPr>
        <w:tabs>
          <w:tab w:val="right" w:pos="8306"/>
        </w:tabs>
        <w:spacing w:line="600" w:lineRule="exact"/>
        <w:ind w:firstLine="640"/>
        <w:outlineLvl w:val="1"/>
        <w:rPr>
          <w:rStyle w:val="30"/>
          <w:rFonts w:hint="default" w:ascii="Times New Roman" w:hAnsi="Times New Roman" w:cs="Times New Roman"/>
        </w:rPr>
      </w:pPr>
      <w:bookmarkStart w:id="43" w:name="_Toc15396608"/>
      <w:bookmarkStart w:id="44" w:name="_Toc21587"/>
      <w:bookmarkStart w:id="45"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43"/>
      <w:bookmarkEnd w:id="44"/>
      <w:bookmarkEnd w:id="45"/>
      <w:r>
        <w:rPr>
          <w:rStyle w:val="30"/>
          <w:rFonts w:hint="default" w:ascii="Times New Roman" w:hAnsi="Times New Roman" w:eastAsia="黑体" w:cs="Times New Roman"/>
          <w:b w:val="0"/>
        </w:rPr>
        <w:tab/>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2024年度一般公共预算财政拨款基本支出50.03万元，其中：</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47.07万元，主要包括：基本工资、津贴补贴、奖金、伙食补助费、绩效工资、机关事业单位基本养老保险缴费、职业年金缴费、其他社会保障缴费、其他工资福利支出、医疗费补助、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公用经费2.96万元，主要包括：办公费、水费、电费、邮电费、物业管理费、差旅费、工会经费、福利费、其他商品和服务支出等。</w:t>
      </w:r>
    </w:p>
    <w:p>
      <w:pPr>
        <w:spacing w:line="600" w:lineRule="exact"/>
        <w:ind w:firstLine="640"/>
        <w:outlineLvl w:val="1"/>
        <w:rPr>
          <w:rStyle w:val="30"/>
          <w:rFonts w:hint="default" w:ascii="Times New Roman" w:hAnsi="Times New Roman" w:eastAsia="黑体" w:cs="Times New Roman"/>
          <w:b w:val="0"/>
        </w:rPr>
      </w:pPr>
      <w:bookmarkStart w:id="46" w:name="_Toc15396609"/>
      <w:bookmarkStart w:id="47" w:name="_Toc15377215"/>
      <w:bookmarkStart w:id="48" w:name="_Toc7881"/>
      <w:r>
        <w:rPr>
          <w:rFonts w:hint="default" w:ascii="Times New Roman" w:hAnsi="Times New Roman" w:eastAsia="黑体" w:cs="Times New Roman"/>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46"/>
      <w:bookmarkEnd w:id="47"/>
      <w:bookmarkEnd w:id="48"/>
    </w:p>
    <w:p>
      <w:pPr>
        <w:ind w:firstLine="803" w:firstLineChars="250"/>
        <w:rPr>
          <w:rFonts w:hint="default" w:ascii="Times New Roman" w:hAnsi="Times New Roman" w:eastAsia="楷体_GB2312" w:cs="Times New Roman"/>
          <w:b/>
          <w:bCs/>
          <w:sz w:val="32"/>
          <w:szCs w:val="32"/>
        </w:rPr>
      </w:pPr>
      <w:bookmarkStart w:id="49" w:name="_Toc15377216"/>
      <w:r>
        <w:rPr>
          <w:rFonts w:hint="default" w:ascii="Times New Roman" w:hAnsi="Times New Roman" w:eastAsia="楷体_GB2312" w:cs="Times New Roman"/>
          <w:b/>
          <w:bCs/>
          <w:sz w:val="32"/>
          <w:szCs w:val="32"/>
        </w:rPr>
        <w:t>（一）“三公”经费财政拨款支出决算总体情况说明</w:t>
      </w:r>
      <w:bookmarkEnd w:id="49"/>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2024年度“三公”经费财政拨款支出决算为0万元，完成预算0%。</w:t>
      </w:r>
    </w:p>
    <w:p>
      <w:pPr>
        <w:ind w:firstLine="803" w:firstLineChars="250"/>
        <w:rPr>
          <w:rFonts w:hint="default" w:ascii="Times New Roman" w:hAnsi="Times New Roman" w:eastAsia="楷体_GB2312" w:cs="Times New Roman"/>
          <w:b/>
          <w:bCs/>
          <w:sz w:val="32"/>
          <w:szCs w:val="32"/>
        </w:rPr>
      </w:pPr>
      <w:bookmarkStart w:id="50" w:name="_Toc15377217"/>
      <w:r>
        <w:rPr>
          <w:rFonts w:hint="default" w:ascii="Times New Roman" w:hAnsi="Times New Roman" w:eastAsia="楷体_GB2312" w:cs="Times New Roman"/>
          <w:b/>
          <w:bCs/>
          <w:sz w:val="32"/>
          <w:szCs w:val="32"/>
        </w:rPr>
        <w:t>（二）“三公”经费财政拨款支出决算具体情况说明</w:t>
      </w:r>
      <w:bookmarkEnd w:id="50"/>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2024年度“三公”经费财政拨款支出决算中，因公出国（境）费支出决算0万元，占0%；公务用车购置及运行维护费支出决算0万元，占0%；公务接待费支出决算0万元，占0%。</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sz w:val="32"/>
          <w:szCs w:val="32"/>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全年安排因公出国（境）团组0次，出国（境）0人。</w:t>
      </w:r>
    </w:p>
    <w:p>
      <w:pPr>
        <w:spacing w:line="600" w:lineRule="exact"/>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sz w:val="32"/>
          <w:szCs w:val="32"/>
        </w:rPr>
        <w:t>0</w:t>
      </w:r>
      <w:r>
        <w:rPr>
          <w:rFonts w:hint="default" w:ascii="Times New Roman" w:hAnsi="Times New Roman" w:eastAsia="仿宋_GB2312" w:cs="Times New Roman"/>
          <w:b/>
          <w:bCs/>
          <w:sz w:val="32"/>
          <w:szCs w:val="32"/>
        </w:rPr>
        <w:t>%。</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公务用车运行维护费支出0万元。</w:t>
      </w:r>
    </w:p>
    <w:p>
      <w:pPr>
        <w:numPr>
          <w:ilvl w:val="0"/>
          <w:numId w:val="2"/>
        </w:numPr>
        <w:spacing w:line="600" w:lineRule="exact"/>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公务接待费支出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sz w:val="32"/>
          <w:szCs w:val="32"/>
        </w:rPr>
        <w:t>0</w:t>
      </w:r>
      <w:r>
        <w:rPr>
          <w:rFonts w:hint="default" w:ascii="Times New Roman" w:hAnsi="Times New Roman" w:eastAsia="仿宋_GB2312" w:cs="Times New Roman"/>
          <w:b/>
          <w:bCs/>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w:t>
      </w:r>
      <w:bookmarkStart w:id="51" w:name="_Toc15396610"/>
      <w:bookmarkStart w:id="52" w:name="_Toc15377218"/>
    </w:p>
    <w:p>
      <w:pPr>
        <w:spacing w:line="600" w:lineRule="exact"/>
        <w:ind w:firstLine="640"/>
        <w:outlineLvl w:val="1"/>
        <w:rPr>
          <w:rStyle w:val="30"/>
          <w:rFonts w:hint="default" w:ascii="Times New Roman" w:hAnsi="Times New Roman" w:eastAsia="黑体" w:cs="Times New Roman"/>
        </w:rPr>
      </w:pPr>
      <w:bookmarkStart w:id="53" w:name="_Toc13065"/>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51"/>
      <w:bookmarkEnd w:id="52"/>
      <w:bookmarkEnd w:id="53"/>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2024年度政府性基金预算财政拨款支出0万元，占本年支出合计的0%。</w:t>
      </w:r>
    </w:p>
    <w:p>
      <w:pPr>
        <w:spacing w:line="600" w:lineRule="exact"/>
        <w:ind w:left="630"/>
        <w:outlineLvl w:val="1"/>
        <w:rPr>
          <w:rStyle w:val="30"/>
          <w:rFonts w:hint="default" w:ascii="Times New Roman" w:hAnsi="Times New Roman" w:eastAsia="黑体" w:cs="Times New Roman"/>
          <w:b w:val="0"/>
        </w:rPr>
      </w:pPr>
      <w:bookmarkStart w:id="54" w:name="_Toc15377219"/>
      <w:bookmarkStart w:id="55" w:name="_Toc15396611"/>
      <w:bookmarkStart w:id="56" w:name="_Toc30479"/>
      <w:r>
        <w:rPr>
          <w:rStyle w:val="30"/>
          <w:rFonts w:hint="default" w:ascii="Times New Roman" w:hAnsi="Times New Roman" w:eastAsia="黑体" w:cs="Times New Roman"/>
          <w:b w:val="0"/>
        </w:rPr>
        <w:t>九、国有资本经营预算支出决算情况说明</w:t>
      </w:r>
      <w:bookmarkEnd w:id="54"/>
      <w:bookmarkEnd w:id="55"/>
      <w:bookmarkEnd w:id="56"/>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2024年度国有资本经营预算财政拨款支出0万元，占本年支出合计的0%。</w:t>
      </w:r>
    </w:p>
    <w:p>
      <w:pPr>
        <w:spacing w:line="600" w:lineRule="exact"/>
        <w:ind w:left="630"/>
        <w:outlineLvl w:val="1"/>
        <w:rPr>
          <w:rStyle w:val="30"/>
          <w:rFonts w:hint="default" w:ascii="Times New Roman" w:hAnsi="Times New Roman" w:eastAsia="黑体" w:cs="Times New Roman"/>
          <w:b w:val="0"/>
        </w:rPr>
      </w:pPr>
      <w:bookmarkStart w:id="57" w:name="_Toc15396612"/>
      <w:bookmarkStart w:id="58" w:name="_Toc15377221"/>
      <w:bookmarkStart w:id="59" w:name="_Toc21914"/>
      <w:r>
        <w:rPr>
          <w:rStyle w:val="30"/>
          <w:rFonts w:hint="default" w:ascii="Times New Roman" w:hAnsi="Times New Roman" w:eastAsia="黑体" w:cs="Times New Roman"/>
          <w:b w:val="0"/>
        </w:rPr>
        <w:t>十、其他重要事项的情况说明</w:t>
      </w:r>
      <w:bookmarkEnd w:id="57"/>
      <w:bookmarkEnd w:id="58"/>
      <w:bookmarkEnd w:id="59"/>
    </w:p>
    <w:p>
      <w:pPr>
        <w:ind w:firstLine="803" w:firstLineChars="250"/>
        <w:rPr>
          <w:rFonts w:hint="default" w:ascii="Times New Roman" w:hAnsi="Times New Roman" w:eastAsia="楷体_GB2312" w:cs="Times New Roman"/>
          <w:b/>
          <w:bCs/>
          <w:sz w:val="32"/>
          <w:szCs w:val="32"/>
        </w:rPr>
      </w:pPr>
      <w:bookmarkStart w:id="60" w:name="_Toc15377222"/>
      <w:r>
        <w:rPr>
          <w:rFonts w:hint="default" w:ascii="Times New Roman" w:hAnsi="Times New Roman" w:eastAsia="楷体_GB2312" w:cs="Times New Roman"/>
          <w:b/>
          <w:bCs/>
          <w:sz w:val="32"/>
          <w:szCs w:val="32"/>
        </w:rPr>
        <w:t>（一）机关运行经费支出情况</w:t>
      </w:r>
      <w:bookmarkEnd w:id="60"/>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2024年度，遂宁市金融服务中心机关运行经费支出0万元。</w:t>
      </w:r>
    </w:p>
    <w:p>
      <w:pPr>
        <w:ind w:firstLine="803" w:firstLineChars="250"/>
        <w:rPr>
          <w:rFonts w:hint="default" w:ascii="Times New Roman" w:hAnsi="Times New Roman" w:eastAsia="楷体_GB2312" w:cs="Times New Roman"/>
          <w:b/>
          <w:bCs/>
          <w:sz w:val="32"/>
          <w:szCs w:val="32"/>
        </w:rPr>
      </w:pPr>
      <w:bookmarkStart w:id="61" w:name="_Toc15377223"/>
      <w:r>
        <w:rPr>
          <w:rFonts w:hint="default" w:ascii="Times New Roman" w:hAnsi="Times New Roman" w:eastAsia="楷体_GB2312" w:cs="Times New Roman"/>
          <w:b/>
          <w:bCs/>
          <w:sz w:val="32"/>
          <w:szCs w:val="32"/>
        </w:rPr>
        <w:t>（二）政府采购支出情况</w:t>
      </w:r>
      <w:bookmarkEnd w:id="61"/>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遂宁市金融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803" w:firstLineChars="250"/>
        <w:rPr>
          <w:rFonts w:hint="default" w:ascii="Times New Roman" w:hAnsi="Times New Roman" w:eastAsia="楷体_GB2312" w:cs="Times New Roman"/>
          <w:b/>
          <w:bCs/>
          <w:sz w:val="32"/>
          <w:szCs w:val="32"/>
        </w:rPr>
      </w:pPr>
      <w:bookmarkStart w:id="62" w:name="_Toc15377224"/>
      <w:r>
        <w:rPr>
          <w:rFonts w:hint="default" w:ascii="Times New Roman" w:hAnsi="Times New Roman" w:eastAsia="楷体_GB2312" w:cs="Times New Roman"/>
          <w:b/>
          <w:bCs/>
          <w:sz w:val="32"/>
          <w:szCs w:val="32"/>
        </w:rPr>
        <w:t>（三）国有资产占有使用情况</w:t>
      </w:r>
      <w:bookmarkEnd w:id="62"/>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截至2024年12月31日，遂宁市金融服务中心共有车辆0辆，其中：主要负责人用车0辆、机要通信用车0辆、应急保障用车0辆、其他用车0辆。单价100万元（含）以上设备（不含车辆）0台（套）。</w:t>
      </w:r>
    </w:p>
    <w:p>
      <w:pPr>
        <w:ind w:firstLine="803" w:firstLineChars="25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（四）预算绩效管理情况</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根据预算绩效管理要求，遂宁市金融服务中心在2024年度预算编制阶段没有需要事前绩效评估的项目，未编制绩效目标，也未开展相应的绩效评价工作。</w:t>
      </w:r>
    </w:p>
    <w:p>
      <w:pPr>
        <w:spacing w:line="600" w:lineRule="exact"/>
        <w:ind w:firstLine="640"/>
        <w:rPr>
          <w:rFonts w:hint="default" w:ascii="Times New Roman" w:hAnsi="Times New Roman" w:eastAsia="仿宋_GB2312" w:cs="Times New Roman"/>
          <w:sz w:val="32"/>
          <w:szCs w:val="32"/>
        </w:rPr>
      </w:pPr>
    </w:p>
    <w:p>
      <w:pPr>
        <w:pStyle w:val="2"/>
        <w:spacing w:before="93"/>
        <w:rPr>
          <w:rFonts w:hint="default" w:ascii="Times New Roman" w:hAnsi="Times New Roman" w:cs="Times New Roman"/>
          <w:kern w:val="2"/>
          <w:sz w:val="32"/>
          <w:szCs w:val="32"/>
        </w:rPr>
      </w:pPr>
    </w:p>
    <w:p>
      <w:pPr>
        <w:pStyle w:val="3"/>
        <w:jc w:val="center"/>
        <w:rPr>
          <w:rFonts w:hint="default" w:ascii="Times New Roman" w:hAnsi="Times New Roman" w:eastAsia="方正小标宋简体" w:cs="Times New Roman"/>
          <w:b w:val="0"/>
        </w:rPr>
      </w:pPr>
      <w:bookmarkStart w:id="63" w:name="_Toc15377225"/>
      <w:bookmarkStart w:id="64" w:name="_Toc29525"/>
      <w:bookmarkStart w:id="65" w:name="_Toc15396613"/>
      <w:r>
        <w:rPr>
          <w:rFonts w:hint="default" w:ascii="Times New Roman" w:hAnsi="Times New Roman" w:eastAsia="方正小标宋简体" w:cs="Times New Roman"/>
          <w:b w:val="0"/>
        </w:rPr>
        <w:t>第三部分  名词解释</w:t>
      </w:r>
      <w:bookmarkEnd w:id="63"/>
      <w:bookmarkEnd w:id="64"/>
      <w:bookmarkEnd w:id="65"/>
    </w:p>
    <w:p>
      <w:pPr>
        <w:spacing w:line="600" w:lineRule="exact"/>
        <w:jc w:val="left"/>
        <w:rPr>
          <w:rFonts w:hint="default" w:ascii="Times New Roman" w:hAnsi="Times New Roman" w:cs="Times New Roman"/>
          <w:b/>
          <w:sz w:val="44"/>
          <w:szCs w:val="44"/>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9.一般公共服务（类）财政事务（款）事业运行（项）：指工资、绩效、津补贴等的支出。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10.社会保障和就业（类）行政事业单位养老支出（款）机关事业单位基本养老保险缴费支出（项）：指养老保险的支出。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11.卫生健康（类）行政事业单位医疗（款）事业单位医疗（项）：指医疗保险的支出。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12.金融（类）金融部门行政支出（款）事业运行（项）：指公用经费等相关支出。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13.住房保障（类）住房改革支出（款）住房公积金（项）：指单位缴纳住房公积金。</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14.基本支出：指为保障机构正常运转、完成日常工作任务而发生的人员支出和公用支出。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4"/>
        <w:adjustRightInd w:val="0"/>
        <w:snapToGrid w:val="0"/>
        <w:spacing w:line="560" w:lineRule="exact"/>
        <w:ind w:left="0" w:leftChars="0"/>
        <w:jc w:val="left"/>
        <w:rPr>
          <w:rFonts w:hint="default" w:ascii="Times New Roman" w:hAnsi="Times New Roman" w:cs="Times New Roman"/>
        </w:rPr>
      </w:pPr>
    </w:p>
    <w:p>
      <w:pPr>
        <w:rPr>
          <w:rFonts w:hint="default" w:ascii="Times New Roman" w:hAnsi="Times New Roman" w:cs="Times New Roman"/>
        </w:rPr>
      </w:pPr>
    </w:p>
    <w:p>
      <w:pPr>
        <w:pStyle w:val="3"/>
        <w:jc w:val="center"/>
        <w:rPr>
          <w:rFonts w:hint="default" w:ascii="Times New Roman" w:hAnsi="Times New Roman" w:eastAsia="方正小标宋简体" w:cs="Times New Roman"/>
          <w:b w:val="0"/>
        </w:rPr>
      </w:pPr>
      <w:bookmarkStart w:id="66" w:name="_Toc645"/>
      <w:r>
        <w:rPr>
          <w:rFonts w:hint="default" w:ascii="Times New Roman" w:hAnsi="Times New Roman" w:eastAsia="方正小标宋简体" w:cs="Times New Roman"/>
          <w:b w:val="0"/>
        </w:rPr>
        <w:t>第四部分  附件</w:t>
      </w:r>
      <w:bookmarkEnd w:id="66"/>
    </w:p>
    <w:p>
      <w:pPr>
        <w:pStyle w:val="2"/>
        <w:spacing w:before="93"/>
        <w:rPr>
          <w:rFonts w:hint="default" w:ascii="Times New Roman" w:hAnsi="Times New Roman" w:cs="Times New Roman"/>
        </w:rPr>
      </w:pPr>
      <w:r>
        <w:rPr>
          <w:rFonts w:hint="default" w:ascii="Times New Roman" w:hAnsi="Times New Roman" w:cs="Times New Roman"/>
        </w:rPr>
        <w:t xml:space="preserve"> </w:t>
      </w:r>
    </w:p>
    <w:p>
      <w:pPr>
        <w:pStyle w:val="2"/>
        <w:spacing w:before="93"/>
        <w:rPr>
          <w:rFonts w:hint="default" w:ascii="Times New Roman" w:hAnsi="Times New Roman" w:cs="Times New Roman"/>
          <w:b/>
          <w:bCs/>
          <w:sz w:val="32"/>
          <w:szCs w:val="32"/>
        </w:rPr>
      </w:pPr>
      <w:r>
        <w:rPr>
          <w:rFonts w:hint="default" w:ascii="Times New Roman" w:hAnsi="Times New Roman" w:cs="Times New Roman"/>
          <w:b/>
          <w:bCs/>
          <w:sz w:val="32"/>
          <w:szCs w:val="32"/>
        </w:rPr>
        <w:t>附件</w:t>
      </w:r>
    </w:p>
    <w:p>
      <w:pPr>
        <w:pStyle w:val="2"/>
        <w:spacing w:before="93"/>
        <w:rPr>
          <w:rFonts w:hint="default" w:ascii="Times New Roman" w:hAnsi="Times New Roman" w:cs="Times New Roman"/>
        </w:rPr>
      </w:pPr>
      <w:r>
        <w:rPr>
          <w:rFonts w:hint="default" w:ascii="Times New Roman" w:hAnsi="Times New Roman" w:cs="Times New Roman"/>
        </w:rPr>
        <w:t xml:space="preserve"> </w:t>
      </w:r>
    </w:p>
    <w:p>
      <w:pPr>
        <w:pStyle w:val="2"/>
        <w:spacing w:before="93"/>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专项预算项目绩效评价报告范本</w:t>
      </w:r>
    </w:p>
    <w:p>
      <w:pPr>
        <w:pStyle w:val="2"/>
        <w:spacing w:before="93"/>
        <w:rPr>
          <w:rFonts w:hint="default" w:ascii="Times New Roman" w:hAnsi="Times New Roman" w:cs="Times New Roman"/>
        </w:rPr>
      </w:pPr>
      <w:r>
        <w:rPr>
          <w:rFonts w:hint="default" w:ascii="Times New Roman" w:hAnsi="Times New Roman" w:cs="Times New Roman"/>
        </w:rPr>
        <w:t xml:space="preserve"> </w:t>
      </w:r>
    </w:p>
    <w:p>
      <w:pPr>
        <w:pStyle w:val="2"/>
        <w:spacing w:before="93"/>
        <w:ind w:firstLine="1200" w:firstLineChars="400"/>
        <w:rPr>
          <w:rFonts w:hint="eastAsia" w:ascii="Times New Roman" w:hAnsi="Times New Roman" w:eastAsia="仿宋_GB2312" w:cs="Times New Roman"/>
          <w:lang w:eastAsia="zh-CN"/>
        </w:rPr>
      </w:pPr>
      <w:r>
        <w:rPr>
          <w:rFonts w:hint="default" w:ascii="Times New Roman" w:hAnsi="Times New Roman" w:cs="Times New Roman"/>
        </w:rPr>
        <w:t>本单位2024年未预算项目支出</w:t>
      </w:r>
      <w:r>
        <w:rPr>
          <w:rFonts w:hint="eastAsia" w:ascii="Times New Roman" w:cs="Times New Roman"/>
          <w:lang w:eastAsia="zh-CN"/>
        </w:rPr>
        <w:t>。</w:t>
      </w:r>
    </w:p>
    <w:p>
      <w:pPr>
        <w:pStyle w:val="2"/>
        <w:spacing w:before="93"/>
        <w:rPr>
          <w:rFonts w:hint="default" w:ascii="Times New Roman" w:hAnsi="Times New Roman" w:cs="Times New Roman"/>
        </w:rPr>
      </w:pPr>
      <w:r>
        <w:rPr>
          <w:rFonts w:hint="default" w:ascii="Times New Roman" w:hAnsi="Times New Roman" w:cs="Times New Roman"/>
        </w:rPr>
        <w:t xml:space="preserve"> </w:t>
      </w:r>
    </w:p>
    <w:p>
      <w:pPr>
        <w:pStyle w:val="2"/>
        <w:spacing w:before="93"/>
        <w:rPr>
          <w:rFonts w:hint="default" w:ascii="Times New Roman" w:hAnsi="Times New Roman" w:cs="Times New Roman"/>
        </w:rPr>
      </w:pPr>
      <w:r>
        <w:rPr>
          <w:rFonts w:hint="default" w:ascii="Times New Roman" w:hAnsi="Times New Roman" w:cs="Times New Roman"/>
        </w:rPr>
        <w:t xml:space="preserve"> </w:t>
      </w:r>
    </w:p>
    <w:p>
      <w:pPr>
        <w:pStyle w:val="2"/>
        <w:spacing w:before="93"/>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br w:type="page"/>
      </w:r>
    </w:p>
    <w:p>
      <w:pPr>
        <w:pStyle w:val="3"/>
        <w:jc w:val="center"/>
        <w:rPr>
          <w:rFonts w:hint="default" w:ascii="Times New Roman" w:hAnsi="Times New Roman" w:eastAsia="方正小标宋简体" w:cs="Times New Roman"/>
          <w:b w:val="0"/>
        </w:rPr>
      </w:pPr>
      <w:bookmarkStart w:id="67" w:name="_Toc7809"/>
      <w:r>
        <w:rPr>
          <w:rFonts w:hint="default" w:ascii="Times New Roman" w:hAnsi="Times New Roman" w:eastAsia="方正小标宋简体" w:cs="Times New Roman"/>
          <w:b w:val="0"/>
        </w:rPr>
        <w:t>第五部分</w:t>
      </w:r>
      <w:r>
        <w:rPr>
          <w:rFonts w:hint="default" w:ascii="Times New Roman" w:hAnsi="Times New Roman" w:eastAsia="方正小标宋简体" w:cs="Times New Roman"/>
          <w:b w:val="0"/>
          <w:lang w:val="en-US" w:eastAsia="zh-CN"/>
        </w:rPr>
        <w:t xml:space="preserve">  </w:t>
      </w:r>
      <w:r>
        <w:rPr>
          <w:rFonts w:hint="default" w:ascii="Times New Roman" w:hAnsi="Times New Roman" w:eastAsia="方正小标宋简体" w:cs="Times New Roman"/>
          <w:b w:val="0"/>
        </w:rPr>
        <w:t>附表</w:t>
      </w:r>
      <w:bookmarkEnd w:id="67"/>
    </w:p>
    <w:p>
      <w:pPr>
        <w:pStyle w:val="2"/>
        <w:spacing w:before="93"/>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68" w:name="_Toc9684"/>
      <w:r>
        <w:rPr>
          <w:rStyle w:val="30"/>
          <w:rFonts w:hint="default" w:ascii="Times New Roman" w:hAnsi="Times New Roman" w:eastAsia="仿宋_GB2312" w:cs="Times New Roman"/>
          <w:b w:val="0"/>
        </w:rPr>
        <w:t>一、收入支出决算总表</w:t>
      </w:r>
      <w:bookmarkEnd w:id="68"/>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69" w:name="_Toc5684"/>
      <w:r>
        <w:rPr>
          <w:rStyle w:val="30"/>
          <w:rFonts w:hint="default" w:ascii="Times New Roman" w:hAnsi="Times New Roman" w:eastAsia="仿宋_GB2312" w:cs="Times New Roman"/>
          <w:b w:val="0"/>
        </w:rPr>
        <w:t>二、收入决算表</w:t>
      </w:r>
      <w:bookmarkEnd w:id="69"/>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0" w:name="_Toc10620"/>
      <w:r>
        <w:rPr>
          <w:rStyle w:val="30"/>
          <w:rFonts w:hint="default" w:ascii="Times New Roman" w:hAnsi="Times New Roman" w:eastAsia="仿宋_GB2312" w:cs="Times New Roman"/>
          <w:b w:val="0"/>
        </w:rPr>
        <w:t>三、支出决算表</w:t>
      </w:r>
      <w:bookmarkEnd w:id="70"/>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1" w:name="_Toc7188"/>
      <w:r>
        <w:rPr>
          <w:rStyle w:val="30"/>
          <w:rFonts w:hint="default" w:ascii="Times New Roman" w:hAnsi="Times New Roman" w:eastAsia="仿宋_GB2312" w:cs="Times New Roman"/>
          <w:b w:val="0"/>
        </w:rPr>
        <w:t>四、财政拨款收入支出决算总表</w:t>
      </w:r>
      <w:bookmarkEnd w:id="71"/>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2" w:name="_Toc29165"/>
      <w:r>
        <w:rPr>
          <w:rStyle w:val="30"/>
          <w:rFonts w:hint="default" w:ascii="Times New Roman" w:hAnsi="Times New Roman" w:eastAsia="仿宋_GB2312" w:cs="Times New Roman"/>
          <w:b w:val="0"/>
        </w:rPr>
        <w:t>五、财政拨款支出决算明细表</w:t>
      </w:r>
      <w:bookmarkEnd w:id="72"/>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3" w:name="_Toc3764"/>
      <w:r>
        <w:rPr>
          <w:rStyle w:val="30"/>
          <w:rFonts w:hint="default" w:ascii="Times New Roman" w:hAnsi="Times New Roman" w:eastAsia="仿宋_GB2312" w:cs="Times New Roman"/>
          <w:b w:val="0"/>
        </w:rPr>
        <w:t>六、一般公共预算财政拨款支出决算表</w:t>
      </w:r>
      <w:bookmarkEnd w:id="73"/>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4" w:name="_Toc10207"/>
      <w:r>
        <w:rPr>
          <w:rStyle w:val="30"/>
          <w:rFonts w:hint="default" w:ascii="Times New Roman" w:hAnsi="Times New Roman" w:eastAsia="仿宋_GB2312" w:cs="Times New Roman"/>
          <w:b w:val="0"/>
        </w:rPr>
        <w:t>七、一般公共预算财政拨款支出决算明细表</w:t>
      </w:r>
      <w:bookmarkEnd w:id="74"/>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5" w:name="_Toc28301"/>
      <w:r>
        <w:rPr>
          <w:rStyle w:val="30"/>
          <w:rFonts w:hint="default" w:ascii="Times New Roman" w:hAnsi="Times New Roman" w:eastAsia="仿宋_GB2312" w:cs="Times New Roman"/>
          <w:b w:val="0"/>
        </w:rPr>
        <w:t>八、一般公共预算财政拨款基本支出决算表</w:t>
      </w:r>
      <w:bookmarkEnd w:id="75"/>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6" w:name="_Toc486"/>
      <w:r>
        <w:rPr>
          <w:rStyle w:val="30"/>
          <w:rFonts w:hint="default" w:ascii="Times New Roman" w:hAnsi="Times New Roman" w:eastAsia="仿宋_GB2312" w:cs="Times New Roman"/>
          <w:b w:val="0"/>
        </w:rPr>
        <w:t>九、一般公共预算财政拨款项目支出决算表</w:t>
      </w:r>
      <w:bookmarkEnd w:id="76"/>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7" w:name="_Toc30686"/>
      <w:r>
        <w:rPr>
          <w:rStyle w:val="30"/>
          <w:rFonts w:hint="default" w:ascii="Times New Roman" w:hAnsi="Times New Roman" w:eastAsia="仿宋_GB2312" w:cs="Times New Roman"/>
          <w:b w:val="0"/>
        </w:rPr>
        <w:t>十、政府性基金预算财政拨款收入支出决算表</w:t>
      </w:r>
      <w:bookmarkEnd w:id="77"/>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8" w:name="_Toc4953"/>
      <w:r>
        <w:rPr>
          <w:rStyle w:val="30"/>
          <w:rFonts w:hint="default" w:ascii="Times New Roman" w:hAnsi="Times New Roman" w:eastAsia="仿宋_GB2312" w:cs="Times New Roman"/>
          <w:b w:val="0"/>
        </w:rPr>
        <w:t>十一、国有资本经营预算财政拨款收入支出决算表</w:t>
      </w:r>
      <w:bookmarkEnd w:id="78"/>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79" w:name="_Toc24690"/>
      <w:r>
        <w:rPr>
          <w:rStyle w:val="30"/>
          <w:rFonts w:hint="default" w:ascii="Times New Roman" w:hAnsi="Times New Roman" w:eastAsia="仿宋_GB2312" w:cs="Times New Roman"/>
          <w:b w:val="0"/>
        </w:rPr>
        <w:t>十二、国有资本经营预算财政拨款支出决算表</w:t>
      </w:r>
      <w:bookmarkEnd w:id="79"/>
    </w:p>
    <w:p>
      <w:pPr>
        <w:keepNext w:val="0"/>
        <w:keepLines w:val="0"/>
        <w:pageBreakBefore w:val="0"/>
        <w:widowControl w:val="0"/>
        <w:kinsoku/>
        <w:wordWrap/>
        <w:overflowPunct/>
        <w:topLinePunct w:val="0"/>
        <w:autoSpaceDE/>
        <w:autoSpaceDN/>
        <w:bidi w:val="0"/>
        <w:adjustRightInd/>
        <w:snapToGrid/>
        <w:spacing w:line="700" w:lineRule="exact"/>
        <w:ind w:left="629"/>
        <w:textAlignment w:val="auto"/>
        <w:outlineLvl w:val="1"/>
        <w:rPr>
          <w:rStyle w:val="30"/>
          <w:rFonts w:hint="default" w:ascii="Times New Roman" w:hAnsi="Times New Roman" w:eastAsia="仿宋_GB2312" w:cs="Times New Roman"/>
          <w:b w:val="0"/>
        </w:rPr>
      </w:pPr>
      <w:bookmarkStart w:id="80" w:name="_Toc4988"/>
      <w:r>
        <w:rPr>
          <w:rStyle w:val="30"/>
          <w:rFonts w:hint="default" w:ascii="Times New Roman" w:hAnsi="Times New Roman" w:eastAsia="仿宋_GB2312" w:cs="Times New Roman"/>
          <w:b w:val="0"/>
        </w:rPr>
        <w:t>十三、财政拨款“三公”经费支出决算表</w:t>
      </w:r>
      <w:bookmarkEnd w:id="80"/>
    </w:p>
    <w:p>
      <w:pPr>
        <w:pStyle w:val="2"/>
        <w:spacing w:before="93"/>
        <w:rPr>
          <w:rFonts w:hint="default" w:ascii="Times New Roman" w:hAnsi="Times New Roman" w:cs="Times New Roman"/>
        </w:rPr>
      </w:pPr>
    </w:p>
    <w:p>
      <w:pPr>
        <w:pStyle w:val="2"/>
        <w:spacing w:before="93"/>
        <w:rPr>
          <w:rFonts w:hint="default" w:ascii="Times New Roman" w:hAnsi="Times New Roman" w:cs="Times New Roman"/>
        </w:rPr>
      </w:pP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33855"/>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B9FD1"/>
    <w:multiLevelType w:val="singleLevel"/>
    <w:tmpl w:val="E35B9FD1"/>
    <w:lvl w:ilvl="0" w:tentative="0">
      <w:start w:val="1"/>
      <w:numFmt w:val="chineseCounting"/>
      <w:suff w:val="nothing"/>
      <w:lvlText w:val="%1、"/>
      <w:lvlJc w:val="left"/>
      <w:rPr>
        <w:rFonts w:hint="eastAsia"/>
      </w:rPr>
    </w:lvl>
  </w:abstractNum>
  <w:abstractNum w:abstractNumId="1">
    <w:nsid w:val="F89EC9AE"/>
    <w:multiLevelType w:val="singleLevel"/>
    <w:tmpl w:val="F89EC9AE"/>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6F32"/>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725A"/>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689B"/>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239A"/>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75B"/>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DFF4286"/>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9FD77D0"/>
    <w:rsid w:val="3AB79AF3"/>
    <w:rsid w:val="3AE834C0"/>
    <w:rsid w:val="3B7EF35A"/>
    <w:rsid w:val="3B9FDB6C"/>
    <w:rsid w:val="3BF5BC2F"/>
    <w:rsid w:val="3BFF7E74"/>
    <w:rsid w:val="3CEBA265"/>
    <w:rsid w:val="3D98207C"/>
    <w:rsid w:val="3DDFD6F6"/>
    <w:rsid w:val="3DEE7CF3"/>
    <w:rsid w:val="3E740A63"/>
    <w:rsid w:val="3E78745D"/>
    <w:rsid w:val="3EE17838"/>
    <w:rsid w:val="3F55381A"/>
    <w:rsid w:val="3F7F7599"/>
    <w:rsid w:val="3FEF83F7"/>
    <w:rsid w:val="3FF4CAE0"/>
    <w:rsid w:val="3FF7B227"/>
    <w:rsid w:val="44E268DA"/>
    <w:rsid w:val="450D13D7"/>
    <w:rsid w:val="45506656"/>
    <w:rsid w:val="486A6C7A"/>
    <w:rsid w:val="4A627F82"/>
    <w:rsid w:val="4AF3C826"/>
    <w:rsid w:val="4B0E749A"/>
    <w:rsid w:val="4B2477C4"/>
    <w:rsid w:val="4B4F25DA"/>
    <w:rsid w:val="4BE068DB"/>
    <w:rsid w:val="4D577224"/>
    <w:rsid w:val="4DBF1CEB"/>
    <w:rsid w:val="4DF0007C"/>
    <w:rsid w:val="4EAB630A"/>
    <w:rsid w:val="4ECE2238"/>
    <w:rsid w:val="4F5F1103"/>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7550B4"/>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FB461F"/>
    <w:rsid w:val="73160E6D"/>
    <w:rsid w:val="7332FE48"/>
    <w:rsid w:val="7377378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FB434F"/>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9B680E"/>
    <w:rsid w:val="7FA30C79"/>
    <w:rsid w:val="7FA79C44"/>
    <w:rsid w:val="7FAF8ABF"/>
    <w:rsid w:val="7FB7269E"/>
    <w:rsid w:val="7FC96657"/>
    <w:rsid w:val="7FDA9588"/>
    <w:rsid w:val="7FDF220F"/>
    <w:rsid w:val="7FEDC5F7"/>
    <w:rsid w:val="7FEDD9DE"/>
    <w:rsid w:val="7FF5890D"/>
    <w:rsid w:val="7FF93490"/>
    <w:rsid w:val="99FF2014"/>
    <w:rsid w:val="9FFFE08B"/>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9F0F70"/>
    <w:rsid w:val="D8D6DB89"/>
    <w:rsid w:val="DB6F4CAB"/>
    <w:rsid w:val="DB777682"/>
    <w:rsid w:val="DD1FB521"/>
    <w:rsid w:val="DDB7E9B5"/>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EFE35AA2"/>
    <w:rsid w:val="F2BEBCB8"/>
    <w:rsid w:val="F36FB518"/>
    <w:rsid w:val="F3DE1A04"/>
    <w:rsid w:val="F3F722E5"/>
    <w:rsid w:val="F4FBCD07"/>
    <w:rsid w:val="F79640B8"/>
    <w:rsid w:val="F7F73761"/>
    <w:rsid w:val="FA5F1E70"/>
    <w:rsid w:val="FA5FDB97"/>
    <w:rsid w:val="FAFF7E32"/>
    <w:rsid w:val="FB7F486A"/>
    <w:rsid w:val="FBFF5B2E"/>
    <w:rsid w:val="FCF6104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10"/>
    <w:basedOn w:val="17"/>
    <w:qFormat/>
    <w:uiPriority w:val="0"/>
    <w:rPr>
      <w:rFonts w:hint="default" w:ascii="Calibri" w:hAnsi="Calibri" w:cs="Calibri"/>
    </w:rPr>
  </w:style>
  <w:style w:type="character" w:customStyle="1" w:styleId="37">
    <w:name w:val="15"/>
    <w:basedOn w:val="17"/>
    <w:qFormat/>
    <w:uiPriority w:val="0"/>
    <w:rPr>
      <w:rFonts w:hint="default" w:ascii="Times New Roman" w:hAnsi="Times New Roman"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00075"/>
          <c:y val="0.023"/>
          <c:w val="0.896175"/>
          <c:h val="0.807566666666667"/>
        </c:manualLayout>
      </c:layout>
      <c:barChart>
        <c:barDir val="col"/>
        <c:grouping val="clustered"/>
        <c:varyColors val="false"/>
        <c:ser>
          <c:idx val="0"/>
          <c:order val="0"/>
          <c:tx>
            <c:strRef>
              <c:f>Sheet1!$B$1</c:f>
              <c:strCache>
                <c:ptCount val="1"/>
                <c:pt idx="0">
                  <c:v>2024年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收、支总计</c:v>
                </c:pt>
              </c:strCache>
            </c:strRef>
          </c:cat>
          <c:val>
            <c:numRef>
              <c:f>Sheet1!$B$2:$B$5</c:f>
              <c:numCache>
                <c:formatCode>General</c:formatCode>
                <c:ptCount val="4"/>
                <c:pt idx="0">
                  <c:v>50.03</c:v>
                </c:pt>
              </c:numCache>
            </c:numRef>
          </c:val>
        </c:ser>
        <c:ser>
          <c:idx val="1"/>
          <c:order val="1"/>
          <c:tx>
            <c:strRef>
              <c:f>Sheet1!$C$1</c:f>
              <c:strCache>
                <c:ptCount val="1"/>
                <c:pt idx="0">
                  <c:v>2023年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收、支总计</c:v>
                </c:pt>
              </c:strCache>
            </c:strRef>
          </c:cat>
          <c:val>
            <c:numRef>
              <c:f>Sheet1!$C$2:$C$5</c:f>
              <c:numCache>
                <c:formatCode>General</c:formatCode>
                <c:ptCount val="4"/>
                <c:pt idx="0">
                  <c:v>0</c:v>
                </c:pt>
              </c:numCache>
            </c:numRef>
          </c:val>
        </c:ser>
        <c:dLbls>
          <c:showLegendKey val="false"/>
          <c:showVal val="true"/>
          <c:showCatName val="false"/>
          <c:showSerName val="false"/>
          <c:showPercent val="false"/>
          <c:showBubbleSize val="false"/>
        </c:dLbls>
        <c:gapWidth val="219"/>
        <c:overlap val="-27"/>
        <c:axId val="185517568"/>
        <c:axId val="29479603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Sheet1!$A$2:$A$5</c15:sqref>
                        </c15:formulaRef>
                      </c:ext>
                    </c:extLst>
                    <c:strCache>
                      <c:ptCount val="4"/>
                      <c:pt idx="0">
                        <c:v>收、支总计</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8551756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96032"/>
        <c:crosses val="autoZero"/>
        <c:auto val="true"/>
        <c:lblAlgn val="ctr"/>
        <c:lblOffset val="100"/>
        <c:noMultiLvlLbl val="false"/>
      </c:catAx>
      <c:valAx>
        <c:axId val="29479603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551756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2024年收入</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50.03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2024年本年支出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50.03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67575"/>
          <c:y val="0.123833333333333"/>
          <c:w val="0.896175"/>
          <c:h val="0.807566666666667"/>
        </c:manualLayout>
      </c:layout>
      <c:barChart>
        <c:barDir val="col"/>
        <c:grouping val="clustered"/>
        <c:varyColors val="false"/>
        <c:ser>
          <c:idx val="0"/>
          <c:order val="0"/>
          <c:tx>
            <c:strRef>
              <c:f>Sheet1!$B$1</c:f>
              <c:strCache>
                <c:ptCount val="1"/>
                <c:pt idx="0">
                  <c:v>财政拨款收、支总计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50.03</c:v>
                </c:pt>
                <c:pt idx="1">
                  <c:v>0</c:v>
                </c:pt>
              </c:numCache>
            </c:numRef>
          </c:val>
        </c:ser>
        <c:dLbls>
          <c:showLegendKey val="false"/>
          <c:showVal val="true"/>
          <c:showCatName val="false"/>
          <c:showSerName val="false"/>
          <c:showPercent val="false"/>
          <c:showBubbleSize val="false"/>
        </c:dLbls>
        <c:gapWidth val="219"/>
        <c:overlap val="-27"/>
        <c:axId val="303403008"/>
        <c:axId val="31204550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Sheet1!$D$2:$D$3</c15:sqref>
                        </c15:formulaRef>
                      </c:ext>
                    </c:extLst>
                    <c:numCache>
                      <c:formatCode>General</c:formatCode>
                      <c:ptCount val="2"/>
                    </c:numCache>
                  </c:numRef>
                </c:val>
              </c15:ser>
            </c15:filteredBarSeries>
          </c:ext>
        </c:extLst>
      </c:barChart>
      <c:catAx>
        <c:axId val="30340300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2045504"/>
        <c:crosses val="autoZero"/>
        <c:auto val="true"/>
        <c:lblAlgn val="ctr"/>
        <c:lblOffset val="100"/>
        <c:noMultiLvlLbl val="false"/>
      </c:catAx>
      <c:valAx>
        <c:axId val="31204550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340300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财政拨款收、支总计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50.03</c:v>
                </c:pt>
                <c:pt idx="1">
                  <c:v>0</c:v>
                </c:pt>
              </c:numCache>
            </c:numRef>
          </c:val>
        </c:ser>
        <c:dLbls>
          <c:showLegendKey val="false"/>
          <c:showVal val="true"/>
          <c:showCatName val="false"/>
          <c:showSerName val="false"/>
          <c:showPercent val="false"/>
          <c:showBubbleSize val="false"/>
        </c:dLbls>
        <c:gapWidth val="219"/>
        <c:overlap val="-27"/>
        <c:axId val="303404032"/>
        <c:axId val="31204723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Sheet1!$D$2:$D$3</c15:sqref>
                        </c15:formulaRef>
                      </c:ext>
                    </c:extLst>
                    <c:numCache>
                      <c:formatCode>General</c:formatCode>
                      <c:ptCount val="2"/>
                    </c:numCache>
                  </c:numRef>
                </c:val>
              </c15:ser>
            </c15:filteredBarSeries>
          </c:ext>
        </c:extLst>
      </c:barChart>
      <c:catAx>
        <c:axId val="30340403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2047232"/>
        <c:crosses val="autoZero"/>
        <c:auto val="true"/>
        <c:lblAlgn val="ctr"/>
        <c:lblOffset val="100"/>
        <c:noMultiLvlLbl val="false"/>
      </c:catAx>
      <c:valAx>
        <c:axId val="31204723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340403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一般公共服务支出</c:v>
                </c:pt>
                <c:pt idx="1">
                  <c:v>教育支出</c:v>
                </c:pt>
                <c:pt idx="2">
                  <c:v>科学技术支出</c:v>
                </c:pt>
                <c:pt idx="3">
                  <c:v>金融支出</c:v>
                </c:pt>
                <c:pt idx="4">
                  <c:v>社会保障和就业支出</c:v>
                </c:pt>
                <c:pt idx="5">
                  <c:v>卫生健康支出</c:v>
                </c:pt>
                <c:pt idx="6">
                  <c:v>住房保障支出</c:v>
                </c:pt>
              </c:strCache>
            </c:strRef>
          </c:cat>
          <c:val>
            <c:numRef>
              <c:f>Sheet1!$B$2:$B$8</c:f>
              <c:numCache>
                <c:formatCode>General</c:formatCode>
                <c:ptCount val="7"/>
                <c:pt idx="0">
                  <c:v>36.48</c:v>
                </c:pt>
                <c:pt idx="1">
                  <c:v>0</c:v>
                </c:pt>
                <c:pt idx="2">
                  <c:v>0</c:v>
                </c:pt>
                <c:pt idx="3">
                  <c:v>1.81</c:v>
                </c:pt>
                <c:pt idx="4">
                  <c:v>5.15</c:v>
                </c:pt>
                <c:pt idx="5">
                  <c:v>2.19</c:v>
                </c:pt>
                <c:pt idx="6">
                  <c:v>4.41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1485"/>
          <c:y val="0.84783333333333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662</Words>
  <Characters>3776</Characters>
  <Lines>31</Lines>
  <Paragraphs>8</Paragraphs>
  <TotalTime>2</TotalTime>
  <ScaleCrop>false</ScaleCrop>
  <LinksUpToDate>false</LinksUpToDate>
  <CharactersWithSpaces>4430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2020-08-12T01:49:00Z</dcterms:created>
  <dc:creator>曹颖</dc:creator>
  <cp:lastModifiedBy> </cp:lastModifiedBy>
  <cp:lastPrinted>2025-08-09T09:34:00Z</cp:lastPrinted>
  <dcterms:modified xsi:type="dcterms:W3CDTF">2025-08-20T14:40:57Z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9E9ADA65B33C4C0A9B587C68FC760CCC</vt:lpwstr>
  </property>
</Properties>
</file>