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hint="eastAsia" w:ascii="黑体" w:hAnsi="黑体" w:eastAsia="黑体"/>
        </w:rPr>
        <w:t>附件4</w:t>
      </w:r>
    </w:p>
    <w:p/>
    <w:p/>
    <w:p/>
    <w:p/>
    <w:p>
      <w:pPr>
        <w:rPr>
          <w:rFonts w:hint="eastAsia"/>
        </w:rPr>
      </w:pPr>
    </w:p>
    <w:p>
      <w:pPr>
        <w:rPr>
          <w:rFonts w:hint="eastAsia"/>
        </w:rPr>
      </w:pPr>
    </w:p>
    <w:p>
      <w:pPr>
        <w:jc w:val="center"/>
        <w:rPr>
          <w:rFonts w:hint="eastAsia" w:ascii="方正小标宋简体" w:eastAsia="方正小标宋简体"/>
          <w:sz w:val="44"/>
          <w:szCs w:val="44"/>
        </w:rPr>
      </w:pPr>
      <w:r>
        <w:rPr>
          <w:rFonts w:hint="eastAsia" w:ascii="方正小标宋简体" w:eastAsia="方正小标宋简体"/>
          <w:sz w:val="44"/>
          <w:szCs w:val="44"/>
        </w:rPr>
        <w:t>2020年度</w:t>
      </w:r>
    </w:p>
    <w:p>
      <w:pPr>
        <w:jc w:val="center"/>
        <w:rPr>
          <w:rFonts w:hint="eastAsia" w:ascii="方正小标宋简体" w:eastAsia="方正小标宋简体"/>
          <w:sz w:val="44"/>
          <w:szCs w:val="44"/>
        </w:rPr>
      </w:pPr>
      <w:r>
        <w:rPr>
          <w:rFonts w:hint="eastAsia" w:ascii="方正小标宋简体" w:eastAsia="方正小标宋简体"/>
          <w:sz w:val="44"/>
          <w:szCs w:val="44"/>
        </w:rPr>
        <w:t>四川省遂宁市政府投资评审中心部门决算</w:t>
      </w:r>
    </w:p>
    <w:p/>
    <w:p>
      <w:pPr>
        <w:sectPr>
          <w:footerReference r:id="rId3" w:type="default"/>
          <w:footerReference r:id="rId4" w:type="even"/>
          <w:pgSz w:w="11906" w:h="16838"/>
          <w:pgMar w:top="1531" w:right="1418" w:bottom="1531" w:left="1418" w:header="851" w:footer="953" w:gutter="0"/>
          <w:pgNumType w:fmt="numberInDash"/>
          <w:cols w:space="720" w:num="1"/>
          <w:titlePg/>
          <w:docGrid w:type="linesAndChars" w:linePitch="626" w:charSpace="804"/>
        </w:sectPr>
      </w:pPr>
    </w:p>
    <w:p/>
    <w:p>
      <w:pPr>
        <w:jc w:val="center"/>
        <w:rPr>
          <w:rFonts w:hint="eastAsia" w:ascii="方正小标宋简体" w:eastAsia="方正小标宋简体"/>
          <w:sz w:val="44"/>
          <w:szCs w:val="44"/>
        </w:rPr>
      </w:pPr>
      <w:r>
        <w:rPr>
          <w:rFonts w:hint="eastAsia" w:ascii="方正小标宋简体" w:eastAsia="方正小标宋简体"/>
          <w:sz w:val="44"/>
          <w:szCs w:val="44"/>
        </w:rPr>
        <w:t>目录</w:t>
      </w:r>
    </w:p>
    <w:p>
      <w:pPr>
        <w:jc w:val="center"/>
        <w:rPr>
          <w:rFonts w:eastAsia="楷体_GB2312"/>
          <w:b/>
        </w:rPr>
      </w:pPr>
      <w:r>
        <w:rPr>
          <w:rFonts w:eastAsia="楷体_GB2312"/>
          <w:b/>
        </w:rPr>
        <w:t>公开时间：2021年 月 日</w:t>
      </w:r>
    </w:p>
    <w:p/>
    <w:p>
      <w:pPr>
        <w:pStyle w:val="8"/>
        <w:tabs>
          <w:tab w:val="right" w:leader="dot" w:pos="9060"/>
        </w:tabs>
        <w:spacing w:line="600" w:lineRule="exact"/>
        <w:rPr>
          <w:sz w:val="28"/>
          <w:szCs w:val="28"/>
          <w:lang/>
        </w:rPr>
      </w:pPr>
      <w:r>
        <w:rPr>
          <w:sz w:val="28"/>
          <w:szCs w:val="28"/>
        </w:rPr>
        <w:fldChar w:fldCharType="begin"/>
      </w:r>
      <w:r>
        <w:rPr>
          <w:sz w:val="28"/>
          <w:szCs w:val="28"/>
        </w:rPr>
        <w:instrText xml:space="preserve"> TOC \o "1-3" \h \z \u </w:instrText>
      </w:r>
      <w:r>
        <w:rPr>
          <w:sz w:val="28"/>
          <w:szCs w:val="28"/>
        </w:rPr>
        <w:fldChar w:fldCharType="separate"/>
      </w:r>
      <w:r>
        <w:rPr>
          <w:rStyle w:val="14"/>
          <w:sz w:val="28"/>
          <w:szCs w:val="28"/>
          <w:lang/>
        </w:rPr>
        <w:fldChar w:fldCharType="begin"/>
      </w:r>
      <w:r>
        <w:rPr>
          <w:rStyle w:val="14"/>
          <w:sz w:val="28"/>
          <w:szCs w:val="28"/>
          <w:lang/>
        </w:rPr>
        <w:instrText xml:space="preserve"> </w:instrText>
      </w:r>
      <w:r>
        <w:rPr>
          <w:sz w:val="28"/>
          <w:szCs w:val="28"/>
          <w:lang/>
        </w:rPr>
        <w:instrText xml:space="preserve">HYPERLINK \l "_Toc80262634"</w:instrText>
      </w:r>
      <w:r>
        <w:rPr>
          <w:rStyle w:val="14"/>
          <w:sz w:val="28"/>
          <w:szCs w:val="28"/>
          <w:lang/>
        </w:rPr>
        <w:instrText xml:space="preserve"> </w:instrText>
      </w:r>
      <w:r>
        <w:rPr>
          <w:rStyle w:val="14"/>
          <w:sz w:val="28"/>
          <w:szCs w:val="28"/>
          <w:lang/>
        </w:rPr>
        <w:fldChar w:fldCharType="separate"/>
      </w:r>
      <w:r>
        <w:rPr>
          <w:rStyle w:val="14"/>
          <w:rFonts w:ascii="方正小标宋简体" w:hAnsi="黑体" w:eastAsia="方正小标宋简体"/>
          <w:sz w:val="28"/>
          <w:szCs w:val="28"/>
          <w:lang/>
        </w:rPr>
        <w:t>第一部分 部门概况</w:t>
      </w:r>
      <w:r>
        <w:rPr>
          <w:sz w:val="28"/>
          <w:szCs w:val="28"/>
          <w:lang/>
        </w:rPr>
        <w:tab/>
      </w:r>
      <w:r>
        <w:rPr>
          <w:sz w:val="28"/>
          <w:szCs w:val="28"/>
          <w:lang/>
        </w:rPr>
        <w:fldChar w:fldCharType="begin"/>
      </w:r>
      <w:r>
        <w:rPr>
          <w:sz w:val="28"/>
          <w:szCs w:val="28"/>
          <w:lang/>
        </w:rPr>
        <w:instrText xml:space="preserve"> PAGEREF _Toc80262634 \h </w:instrText>
      </w:r>
      <w:r>
        <w:rPr>
          <w:sz w:val="28"/>
          <w:szCs w:val="28"/>
          <w:lang/>
        </w:rPr>
        <w:fldChar w:fldCharType="separate"/>
      </w:r>
      <w:r>
        <w:rPr>
          <w:sz w:val="28"/>
          <w:szCs w:val="28"/>
          <w:lang/>
        </w:rPr>
        <w:t>- 1 -</w:t>
      </w:r>
      <w:r>
        <w:rPr>
          <w:sz w:val="28"/>
          <w:szCs w:val="28"/>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"_Toc80262635"</w:instrText>
      </w:r>
      <w:r>
        <w:rPr>
          <w:rStyle w:val="14"/>
          <w:sz w:val="28"/>
          <w:szCs w:val="28"/>
          <w:lang/>
        </w:rPr>
        <w:instrText xml:space="preserve"> </w:instrText>
      </w:r>
      <w:r>
        <w:rPr>
          <w:rStyle w:val="14"/>
          <w:sz w:val="28"/>
          <w:szCs w:val="28"/>
          <w:lang/>
        </w:rPr>
        <w:fldChar w:fldCharType="separate"/>
      </w:r>
      <w:r>
        <w:rPr>
          <w:rStyle w:val="14"/>
          <w:sz w:val="28"/>
          <w:szCs w:val="28"/>
          <w:lang/>
        </w:rPr>
        <w:t>一、基本职能及主要工作</w:t>
      </w:r>
      <w:r>
        <w:rPr>
          <w:rStyle w:val="14"/>
          <w:lang/>
        </w:rPr>
        <w:tab/>
      </w:r>
      <w:r>
        <w:rPr>
          <w:rStyle w:val="14"/>
          <w:lang/>
        </w:rPr>
        <w:fldChar w:fldCharType="begin"/>
      </w:r>
      <w:r>
        <w:rPr>
          <w:rStyle w:val="14"/>
          <w:lang/>
        </w:rPr>
        <w:instrText xml:space="preserve"> PAGEREF _Toc80262635 \h </w:instrText>
      </w:r>
      <w:r>
        <w:rPr>
          <w:rStyle w:val="14"/>
          <w:lang/>
        </w:rPr>
        <w:fldChar w:fldCharType="separate"/>
      </w:r>
      <w:r>
        <w:rPr>
          <w:rStyle w:val="14"/>
          <w:lang/>
        </w:rPr>
        <w:t>- 1 -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"_Toc80262636"</w:instrText>
      </w:r>
      <w:r>
        <w:rPr>
          <w:rStyle w:val="14"/>
          <w:sz w:val="28"/>
          <w:szCs w:val="28"/>
          <w:lang/>
        </w:rPr>
        <w:instrText xml:space="preserve"> </w:instrText>
      </w:r>
      <w:r>
        <w:rPr>
          <w:rStyle w:val="14"/>
          <w:sz w:val="28"/>
          <w:szCs w:val="28"/>
          <w:lang/>
        </w:rPr>
        <w:fldChar w:fldCharType="separate"/>
      </w:r>
      <w:r>
        <w:rPr>
          <w:rStyle w:val="14"/>
          <w:sz w:val="28"/>
          <w:szCs w:val="28"/>
          <w:lang/>
        </w:rPr>
        <w:t>二、机构设置</w:t>
      </w:r>
      <w:r>
        <w:rPr>
          <w:rStyle w:val="14"/>
          <w:lang/>
        </w:rPr>
        <w:tab/>
      </w:r>
      <w:r>
        <w:rPr>
          <w:rStyle w:val="14"/>
          <w:lang/>
        </w:rPr>
        <w:fldChar w:fldCharType="begin"/>
      </w:r>
      <w:r>
        <w:rPr>
          <w:rStyle w:val="14"/>
          <w:lang/>
        </w:rPr>
        <w:instrText xml:space="preserve"> PAGEREF _Toc80262636 \h </w:instrText>
      </w:r>
      <w:r>
        <w:rPr>
          <w:rStyle w:val="14"/>
          <w:lang/>
        </w:rPr>
        <w:fldChar w:fldCharType="separate"/>
      </w:r>
      <w:r>
        <w:rPr>
          <w:rStyle w:val="14"/>
          <w:lang/>
        </w:rPr>
        <w:t>- 2 -</w:t>
      </w:r>
      <w:r>
        <w:rPr>
          <w:rStyle w:val="14"/>
          <w:lang/>
        </w:rPr>
        <w:fldChar w:fldCharType="end"/>
      </w:r>
      <w:r>
        <w:rPr>
          <w:rStyle w:val="14"/>
          <w:sz w:val="28"/>
          <w:szCs w:val="28"/>
          <w:lang/>
        </w:rPr>
        <w:fldChar w:fldCharType="end"/>
      </w:r>
    </w:p>
    <w:p>
      <w:pPr>
        <w:pStyle w:val="8"/>
        <w:tabs>
          <w:tab w:val="right" w:leader="dot" w:pos="9060"/>
        </w:tabs>
        <w:spacing w:line="600" w:lineRule="exact"/>
        <w:rPr>
          <w:sz w:val="28"/>
          <w:szCs w:val="28"/>
          <w:lang/>
        </w:rPr>
      </w:pPr>
      <w:r>
        <w:rPr>
          <w:rStyle w:val="14"/>
          <w:sz w:val="28"/>
          <w:szCs w:val="28"/>
          <w:lang/>
        </w:rPr>
        <w:fldChar w:fldCharType="begin"/>
      </w:r>
      <w:r>
        <w:rPr>
          <w:rStyle w:val="14"/>
          <w:sz w:val="28"/>
          <w:szCs w:val="28"/>
          <w:lang/>
        </w:rPr>
        <w:instrText xml:space="preserve"> </w:instrText>
      </w:r>
      <w:r>
        <w:rPr>
          <w:sz w:val="28"/>
          <w:szCs w:val="28"/>
          <w:lang/>
        </w:rPr>
        <w:instrText xml:space="preserve">HYPERLINK \l "_Toc80262637"</w:instrText>
      </w:r>
      <w:r>
        <w:rPr>
          <w:rStyle w:val="14"/>
          <w:sz w:val="28"/>
          <w:szCs w:val="28"/>
          <w:lang/>
        </w:rPr>
        <w:instrText xml:space="preserve"> </w:instrText>
      </w:r>
      <w:r>
        <w:rPr>
          <w:rStyle w:val="14"/>
          <w:sz w:val="28"/>
          <w:szCs w:val="28"/>
          <w:lang/>
        </w:rPr>
        <w:fldChar w:fldCharType="separate"/>
      </w:r>
      <w:r>
        <w:rPr>
          <w:rStyle w:val="14"/>
          <w:rFonts w:ascii="方正小标宋简体" w:hAnsi="黑体" w:eastAsia="方正小标宋简体"/>
          <w:sz w:val="28"/>
          <w:szCs w:val="28"/>
          <w:lang/>
        </w:rPr>
        <w:t>第二部分 2020年度部门决算情况说明</w:t>
      </w:r>
      <w:r>
        <w:rPr>
          <w:sz w:val="28"/>
          <w:szCs w:val="28"/>
          <w:lang/>
        </w:rPr>
        <w:tab/>
      </w:r>
      <w:r>
        <w:rPr>
          <w:sz w:val="28"/>
          <w:szCs w:val="28"/>
          <w:lang/>
        </w:rPr>
        <w:fldChar w:fldCharType="begin"/>
      </w:r>
      <w:r>
        <w:rPr>
          <w:sz w:val="28"/>
          <w:szCs w:val="28"/>
          <w:lang/>
        </w:rPr>
        <w:instrText xml:space="preserve"> PAGEREF _Toc80262637 \h </w:instrText>
      </w:r>
      <w:r>
        <w:rPr>
          <w:sz w:val="28"/>
          <w:szCs w:val="28"/>
          <w:lang/>
        </w:rPr>
        <w:fldChar w:fldCharType="separate"/>
      </w:r>
      <w:r>
        <w:rPr>
          <w:sz w:val="28"/>
          <w:szCs w:val="28"/>
          <w:lang/>
        </w:rPr>
        <w:t>- 4 -</w:t>
      </w:r>
      <w:r>
        <w:rPr>
          <w:sz w:val="28"/>
          <w:szCs w:val="28"/>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"_Toc80262638"</w:instrText>
      </w:r>
      <w:r>
        <w:rPr>
          <w:rStyle w:val="14"/>
          <w:sz w:val="28"/>
          <w:szCs w:val="28"/>
          <w:lang/>
        </w:rPr>
        <w:instrText xml:space="preserve"> </w:instrText>
      </w:r>
      <w:r>
        <w:rPr>
          <w:rStyle w:val="14"/>
          <w:sz w:val="28"/>
          <w:szCs w:val="28"/>
          <w:lang/>
        </w:rPr>
        <w:fldChar w:fldCharType="separate"/>
      </w:r>
      <w:r>
        <w:rPr>
          <w:rStyle w:val="14"/>
          <w:sz w:val="28"/>
          <w:szCs w:val="28"/>
          <w:lang/>
        </w:rPr>
        <w:t>一、收入支出决算总体情况说明</w:t>
      </w:r>
      <w:r>
        <w:rPr>
          <w:rStyle w:val="14"/>
          <w:lang/>
        </w:rPr>
        <w:tab/>
      </w:r>
      <w:r>
        <w:rPr>
          <w:rStyle w:val="14"/>
          <w:lang/>
        </w:rPr>
        <w:fldChar w:fldCharType="begin"/>
      </w:r>
      <w:r>
        <w:rPr>
          <w:rStyle w:val="14"/>
          <w:lang/>
        </w:rPr>
        <w:instrText xml:space="preserve"> PAGEREF _Toc80262638 \h </w:instrText>
      </w:r>
      <w:r>
        <w:rPr>
          <w:rStyle w:val="14"/>
          <w:lang/>
        </w:rPr>
        <w:fldChar w:fldCharType="separate"/>
      </w:r>
      <w:r>
        <w:rPr>
          <w:rStyle w:val="14"/>
          <w:lang/>
        </w:rPr>
        <w:t>- 4 -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"_Toc80262639"</w:instrText>
      </w:r>
      <w:r>
        <w:rPr>
          <w:rStyle w:val="14"/>
          <w:sz w:val="28"/>
          <w:szCs w:val="28"/>
          <w:lang/>
        </w:rPr>
        <w:instrText xml:space="preserve"> </w:instrText>
      </w:r>
      <w:r>
        <w:rPr>
          <w:rStyle w:val="14"/>
          <w:sz w:val="28"/>
          <w:szCs w:val="28"/>
          <w:lang/>
        </w:rPr>
        <w:fldChar w:fldCharType="separate"/>
      </w:r>
      <w:r>
        <w:rPr>
          <w:rStyle w:val="14"/>
          <w:sz w:val="28"/>
          <w:szCs w:val="28"/>
          <w:lang/>
        </w:rPr>
        <w:t>二、收入决算情况说明</w:t>
      </w:r>
      <w:r>
        <w:rPr>
          <w:rStyle w:val="14"/>
          <w:lang/>
        </w:rPr>
        <w:tab/>
      </w:r>
      <w:r>
        <w:rPr>
          <w:rStyle w:val="14"/>
          <w:lang/>
        </w:rPr>
        <w:fldChar w:fldCharType="begin"/>
      </w:r>
      <w:r>
        <w:rPr>
          <w:rStyle w:val="14"/>
          <w:lang/>
        </w:rPr>
        <w:instrText xml:space="preserve"> PAGEREF _Toc80262639 \h </w:instrText>
      </w:r>
      <w:r>
        <w:rPr>
          <w:rStyle w:val="14"/>
          <w:lang/>
        </w:rPr>
        <w:fldChar w:fldCharType="separate"/>
      </w:r>
      <w:r>
        <w:rPr>
          <w:rStyle w:val="14"/>
          <w:lang/>
        </w:rPr>
        <w:t>- 4 -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"_Toc80262640"</w:instrText>
      </w:r>
      <w:r>
        <w:rPr>
          <w:rStyle w:val="14"/>
          <w:sz w:val="28"/>
          <w:szCs w:val="28"/>
          <w:lang/>
        </w:rPr>
        <w:instrText xml:space="preserve"> </w:instrText>
      </w:r>
      <w:r>
        <w:rPr>
          <w:rStyle w:val="14"/>
          <w:sz w:val="28"/>
          <w:szCs w:val="28"/>
          <w:lang/>
        </w:rPr>
        <w:fldChar w:fldCharType="separate"/>
      </w:r>
      <w:r>
        <w:rPr>
          <w:rStyle w:val="14"/>
          <w:sz w:val="28"/>
          <w:szCs w:val="28"/>
          <w:lang/>
        </w:rPr>
        <w:t>三、支出决算情况说明</w:t>
      </w:r>
      <w:r>
        <w:rPr>
          <w:rStyle w:val="14"/>
          <w:lang/>
        </w:rPr>
        <w:tab/>
      </w:r>
      <w:r>
        <w:rPr>
          <w:rStyle w:val="14"/>
          <w:lang/>
        </w:rPr>
        <w:fldChar w:fldCharType="begin"/>
      </w:r>
      <w:r>
        <w:rPr>
          <w:rStyle w:val="14"/>
          <w:lang/>
        </w:rPr>
        <w:instrText xml:space="preserve"> PAGEREF _Toc80262640 \h </w:instrText>
      </w:r>
      <w:r>
        <w:rPr>
          <w:rStyle w:val="14"/>
          <w:lang/>
        </w:rPr>
        <w:fldChar w:fldCharType="separate"/>
      </w:r>
      <w:r>
        <w:rPr>
          <w:rStyle w:val="14"/>
          <w:lang/>
        </w:rPr>
        <w:t>- 5 -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"_Toc80262641"</w:instrText>
      </w:r>
      <w:r>
        <w:rPr>
          <w:rStyle w:val="14"/>
          <w:sz w:val="28"/>
          <w:szCs w:val="28"/>
          <w:lang/>
        </w:rPr>
        <w:instrText xml:space="preserve"> </w:instrText>
      </w:r>
      <w:r>
        <w:rPr>
          <w:rStyle w:val="14"/>
          <w:sz w:val="28"/>
          <w:szCs w:val="28"/>
          <w:lang/>
        </w:rPr>
        <w:fldChar w:fldCharType="separate"/>
      </w:r>
      <w:r>
        <w:rPr>
          <w:rStyle w:val="14"/>
          <w:sz w:val="28"/>
          <w:szCs w:val="28"/>
          <w:lang/>
        </w:rPr>
        <w:t>四、财政拨款收入支出决算总体情况说明</w:t>
      </w:r>
      <w:r>
        <w:rPr>
          <w:rStyle w:val="14"/>
          <w:lang/>
        </w:rPr>
        <w:tab/>
      </w:r>
      <w:r>
        <w:rPr>
          <w:rStyle w:val="14"/>
          <w:lang/>
        </w:rPr>
        <w:fldChar w:fldCharType="begin"/>
      </w:r>
      <w:r>
        <w:rPr>
          <w:rStyle w:val="14"/>
          <w:lang/>
        </w:rPr>
        <w:instrText xml:space="preserve"> PAGEREF _Toc80262641 \h </w:instrText>
      </w:r>
      <w:r>
        <w:rPr>
          <w:rStyle w:val="14"/>
          <w:lang/>
        </w:rPr>
        <w:fldChar w:fldCharType="separate"/>
      </w:r>
      <w:r>
        <w:rPr>
          <w:rStyle w:val="14"/>
          <w:lang/>
        </w:rPr>
        <w:t>- 5 -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"_Toc80262642"</w:instrText>
      </w:r>
      <w:r>
        <w:rPr>
          <w:rStyle w:val="14"/>
          <w:sz w:val="28"/>
          <w:szCs w:val="28"/>
          <w:lang/>
        </w:rPr>
        <w:instrText xml:space="preserve"> </w:instrText>
      </w:r>
      <w:r>
        <w:rPr>
          <w:rStyle w:val="14"/>
          <w:sz w:val="28"/>
          <w:szCs w:val="28"/>
          <w:lang/>
        </w:rPr>
        <w:fldChar w:fldCharType="separate"/>
      </w:r>
      <w:r>
        <w:rPr>
          <w:rStyle w:val="14"/>
          <w:sz w:val="28"/>
          <w:szCs w:val="28"/>
          <w:lang/>
        </w:rPr>
        <w:t>五、一般公共预算财政拨款支出决算情况说明</w:t>
      </w:r>
      <w:r>
        <w:rPr>
          <w:rStyle w:val="14"/>
          <w:lang/>
        </w:rPr>
        <w:tab/>
      </w:r>
      <w:r>
        <w:rPr>
          <w:rStyle w:val="14"/>
          <w:lang/>
        </w:rPr>
        <w:fldChar w:fldCharType="begin"/>
      </w:r>
      <w:r>
        <w:rPr>
          <w:rStyle w:val="14"/>
          <w:lang/>
        </w:rPr>
        <w:instrText xml:space="preserve"> PAGEREF _Toc80262642 \h </w:instrText>
      </w:r>
      <w:r>
        <w:rPr>
          <w:rStyle w:val="14"/>
          <w:lang/>
        </w:rPr>
        <w:fldChar w:fldCharType="separate"/>
      </w:r>
      <w:r>
        <w:rPr>
          <w:rStyle w:val="14"/>
          <w:lang/>
        </w:rPr>
        <w:t>- 6 -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"_Toc80262643"</w:instrText>
      </w:r>
      <w:r>
        <w:rPr>
          <w:rStyle w:val="14"/>
          <w:sz w:val="28"/>
          <w:szCs w:val="28"/>
          <w:lang/>
        </w:rPr>
        <w:instrText xml:space="preserve"> </w:instrText>
      </w:r>
      <w:r>
        <w:rPr>
          <w:rStyle w:val="14"/>
          <w:sz w:val="28"/>
          <w:szCs w:val="28"/>
          <w:lang/>
        </w:rPr>
        <w:fldChar w:fldCharType="separate"/>
      </w:r>
      <w:r>
        <w:rPr>
          <w:rStyle w:val="14"/>
          <w:sz w:val="28"/>
          <w:szCs w:val="28"/>
          <w:lang/>
        </w:rPr>
        <w:t>六、一般公共预算财政拨款基本支出决算情况说明</w:t>
      </w:r>
      <w:r>
        <w:rPr>
          <w:rStyle w:val="14"/>
          <w:lang/>
        </w:rPr>
        <w:tab/>
      </w:r>
      <w:r>
        <w:rPr>
          <w:rStyle w:val="14"/>
          <w:lang/>
        </w:rPr>
        <w:fldChar w:fldCharType="begin"/>
      </w:r>
      <w:r>
        <w:rPr>
          <w:rStyle w:val="14"/>
          <w:lang/>
        </w:rPr>
        <w:instrText xml:space="preserve"> PAGEREF _Toc80262643 \h </w:instrText>
      </w:r>
      <w:r>
        <w:rPr>
          <w:rStyle w:val="14"/>
          <w:lang/>
        </w:rPr>
        <w:fldChar w:fldCharType="separate"/>
      </w:r>
      <w:r>
        <w:rPr>
          <w:rStyle w:val="14"/>
          <w:lang/>
        </w:rPr>
        <w:t>- 8 -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"_Toc80262644"</w:instrText>
      </w:r>
      <w:r>
        <w:rPr>
          <w:rStyle w:val="14"/>
          <w:sz w:val="28"/>
          <w:szCs w:val="28"/>
          <w:lang/>
        </w:rPr>
        <w:instrText xml:space="preserve"> </w:instrText>
      </w:r>
      <w:r>
        <w:rPr>
          <w:rStyle w:val="14"/>
          <w:sz w:val="28"/>
          <w:szCs w:val="28"/>
          <w:lang/>
        </w:rPr>
        <w:fldChar w:fldCharType="separate"/>
      </w:r>
      <w:r>
        <w:rPr>
          <w:rStyle w:val="14"/>
          <w:sz w:val="28"/>
          <w:szCs w:val="28"/>
          <w:lang/>
        </w:rPr>
        <w:t>七、“三公”经费财政拨款支出决算情况说明</w:t>
      </w:r>
      <w:r>
        <w:rPr>
          <w:rStyle w:val="14"/>
          <w:lang/>
        </w:rPr>
        <w:tab/>
      </w:r>
      <w:r>
        <w:rPr>
          <w:rStyle w:val="14"/>
          <w:lang/>
        </w:rPr>
        <w:fldChar w:fldCharType="begin"/>
      </w:r>
      <w:r>
        <w:rPr>
          <w:rStyle w:val="14"/>
          <w:lang/>
        </w:rPr>
        <w:instrText xml:space="preserve"> PAGEREF _Toc80262644 \h </w:instrText>
      </w:r>
      <w:r>
        <w:rPr>
          <w:rStyle w:val="14"/>
          <w:lang/>
        </w:rPr>
        <w:fldChar w:fldCharType="separate"/>
      </w:r>
      <w:r>
        <w:rPr>
          <w:rStyle w:val="14"/>
          <w:lang/>
        </w:rPr>
        <w:t>- 8 -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"_Toc80262645"</w:instrText>
      </w:r>
      <w:r>
        <w:rPr>
          <w:rStyle w:val="14"/>
          <w:sz w:val="28"/>
          <w:szCs w:val="28"/>
          <w:lang/>
        </w:rPr>
        <w:instrText xml:space="preserve"> </w:instrText>
      </w:r>
      <w:r>
        <w:rPr>
          <w:rStyle w:val="14"/>
          <w:sz w:val="28"/>
          <w:szCs w:val="28"/>
          <w:lang/>
        </w:rPr>
        <w:fldChar w:fldCharType="separate"/>
      </w:r>
      <w:r>
        <w:rPr>
          <w:rStyle w:val="14"/>
          <w:sz w:val="28"/>
          <w:szCs w:val="28"/>
          <w:lang/>
        </w:rPr>
        <w:t>八、政府性基金预算支出决算情况说明</w:t>
      </w:r>
      <w:r>
        <w:rPr>
          <w:rStyle w:val="14"/>
          <w:lang/>
        </w:rPr>
        <w:tab/>
      </w:r>
      <w:r>
        <w:rPr>
          <w:rStyle w:val="14"/>
          <w:lang/>
        </w:rPr>
        <w:fldChar w:fldCharType="begin"/>
      </w:r>
      <w:r>
        <w:rPr>
          <w:rStyle w:val="14"/>
          <w:lang/>
        </w:rPr>
        <w:instrText xml:space="preserve"> PAGEREF _Toc80262645 \h </w:instrText>
      </w:r>
      <w:r>
        <w:rPr>
          <w:rStyle w:val="14"/>
          <w:lang/>
        </w:rPr>
        <w:fldChar w:fldCharType="separate"/>
      </w:r>
      <w:r>
        <w:rPr>
          <w:rStyle w:val="14"/>
          <w:lang/>
        </w:rPr>
        <w:t>- 10 -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"_Toc80262646"</w:instrText>
      </w:r>
      <w:r>
        <w:rPr>
          <w:rStyle w:val="14"/>
          <w:sz w:val="28"/>
          <w:szCs w:val="28"/>
          <w:lang/>
        </w:rPr>
        <w:instrText xml:space="preserve"> </w:instrText>
      </w:r>
      <w:r>
        <w:rPr>
          <w:rStyle w:val="14"/>
          <w:sz w:val="28"/>
          <w:szCs w:val="28"/>
          <w:lang/>
        </w:rPr>
        <w:fldChar w:fldCharType="separate"/>
      </w:r>
      <w:r>
        <w:rPr>
          <w:rStyle w:val="14"/>
          <w:sz w:val="28"/>
          <w:szCs w:val="28"/>
          <w:lang/>
        </w:rPr>
        <w:t>九、国有资本经营预算支出决算情况说明</w:t>
      </w:r>
      <w:r>
        <w:rPr>
          <w:rStyle w:val="14"/>
          <w:lang/>
        </w:rPr>
        <w:tab/>
      </w:r>
      <w:r>
        <w:rPr>
          <w:rStyle w:val="14"/>
          <w:lang/>
        </w:rPr>
        <w:fldChar w:fldCharType="begin"/>
      </w:r>
      <w:r>
        <w:rPr>
          <w:rStyle w:val="14"/>
          <w:lang/>
        </w:rPr>
        <w:instrText xml:space="preserve"> PAGEREF _Toc80262646 \h </w:instrText>
      </w:r>
      <w:r>
        <w:rPr>
          <w:rStyle w:val="14"/>
          <w:lang/>
        </w:rPr>
        <w:fldChar w:fldCharType="separate"/>
      </w:r>
      <w:r>
        <w:rPr>
          <w:rStyle w:val="14"/>
          <w:lang/>
        </w:rPr>
        <w:t>- 10 -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"_Toc80262647"</w:instrText>
      </w:r>
      <w:r>
        <w:rPr>
          <w:rStyle w:val="14"/>
          <w:sz w:val="28"/>
          <w:szCs w:val="28"/>
          <w:lang/>
        </w:rPr>
        <w:instrText xml:space="preserve"> </w:instrText>
      </w:r>
      <w:r>
        <w:rPr>
          <w:rStyle w:val="14"/>
          <w:sz w:val="28"/>
          <w:szCs w:val="28"/>
          <w:lang/>
        </w:rPr>
        <w:fldChar w:fldCharType="separate"/>
      </w:r>
      <w:r>
        <w:rPr>
          <w:rStyle w:val="14"/>
          <w:sz w:val="28"/>
          <w:szCs w:val="28"/>
          <w:lang/>
        </w:rPr>
        <w:t>十、其他重要事项的情况说明</w:t>
      </w:r>
      <w:r>
        <w:rPr>
          <w:rStyle w:val="14"/>
          <w:lang/>
        </w:rPr>
        <w:tab/>
      </w:r>
      <w:r>
        <w:rPr>
          <w:rStyle w:val="14"/>
          <w:lang/>
        </w:rPr>
        <w:fldChar w:fldCharType="begin"/>
      </w:r>
      <w:r>
        <w:rPr>
          <w:rStyle w:val="14"/>
          <w:lang/>
        </w:rPr>
        <w:instrText xml:space="preserve"> PAGEREF _Toc80262647 \h </w:instrText>
      </w:r>
      <w:r>
        <w:rPr>
          <w:rStyle w:val="14"/>
          <w:lang/>
        </w:rPr>
        <w:fldChar w:fldCharType="separate"/>
      </w:r>
      <w:r>
        <w:rPr>
          <w:rStyle w:val="14"/>
          <w:lang/>
        </w:rPr>
        <w:t>- 10 -</w:t>
      </w:r>
      <w:r>
        <w:rPr>
          <w:rStyle w:val="14"/>
          <w:lang/>
        </w:rPr>
        <w:fldChar w:fldCharType="end"/>
      </w:r>
      <w:r>
        <w:rPr>
          <w:rStyle w:val="14"/>
          <w:sz w:val="28"/>
          <w:szCs w:val="28"/>
          <w:lang/>
        </w:rPr>
        <w:fldChar w:fldCharType="end"/>
      </w:r>
    </w:p>
    <w:p>
      <w:pPr>
        <w:pStyle w:val="8"/>
        <w:tabs>
          <w:tab w:val="right" w:leader="dot" w:pos="9060"/>
        </w:tabs>
        <w:spacing w:line="600" w:lineRule="exact"/>
        <w:rPr>
          <w:rStyle w:val="14"/>
          <w:rFonts w:ascii="方正小标宋简体" w:hAnsi="黑体" w:eastAsia="方正小标宋简体"/>
          <w:sz w:val="28"/>
          <w:szCs w:val="28"/>
          <w:lang/>
        </w:rPr>
      </w:pPr>
      <w:r>
        <w:rPr>
          <w:rStyle w:val="14"/>
          <w:rFonts w:ascii="方正小标宋简体" w:hAnsi="黑体" w:eastAsia="方正小标宋简体"/>
          <w:sz w:val="28"/>
          <w:szCs w:val="28"/>
          <w:lang/>
        </w:rPr>
        <w:fldChar w:fldCharType="begin"/>
      </w:r>
      <w:r>
        <w:rPr>
          <w:rStyle w:val="14"/>
          <w:rFonts w:ascii="方正小标宋简体" w:hAnsi="黑体" w:eastAsia="方正小标宋简体"/>
          <w:sz w:val="28"/>
          <w:szCs w:val="28"/>
          <w:lang/>
        </w:rPr>
        <w:instrText xml:space="preserve"> HYPERLINK \l "_Toc80262648" </w:instrText>
      </w:r>
      <w:r>
        <w:rPr>
          <w:rStyle w:val="14"/>
          <w:rFonts w:ascii="方正小标宋简体" w:hAnsi="黑体" w:eastAsia="方正小标宋简体"/>
          <w:sz w:val="28"/>
          <w:szCs w:val="28"/>
          <w:lang/>
        </w:rPr>
        <w:fldChar w:fldCharType="separate"/>
      </w:r>
      <w:r>
        <w:rPr>
          <w:rStyle w:val="14"/>
          <w:rFonts w:ascii="方正小标宋简体" w:hAnsi="黑体" w:eastAsia="方正小标宋简体"/>
          <w:sz w:val="28"/>
          <w:szCs w:val="28"/>
          <w:lang/>
        </w:rPr>
        <w:t>第三部分 名</w:t>
      </w:r>
      <w:bookmarkStart w:id="0" w:name="_Hlt80262798"/>
      <w:r>
        <w:rPr>
          <w:rStyle w:val="14"/>
          <w:rFonts w:ascii="方正小标宋简体" w:hAnsi="黑体" w:eastAsia="方正小标宋简体"/>
          <w:sz w:val="28"/>
          <w:szCs w:val="28"/>
          <w:lang/>
        </w:rPr>
        <w:t>词</w:t>
      </w:r>
      <w:bookmarkEnd w:id="0"/>
      <w:r>
        <w:rPr>
          <w:rStyle w:val="14"/>
          <w:rFonts w:ascii="方正小标宋简体" w:hAnsi="黑体" w:eastAsia="方正小标宋简体"/>
          <w:sz w:val="28"/>
          <w:szCs w:val="28"/>
          <w:lang/>
        </w:rPr>
        <w:t>解释</w:t>
      </w:r>
      <w:bookmarkStart w:id="1" w:name="_Hlt80262756"/>
      <w:bookmarkStart w:id="2" w:name="_Hlt80262755"/>
      <w:r>
        <w:rPr>
          <w:rStyle w:val="14"/>
          <w:rFonts w:ascii="方正小标宋简体" w:hAnsi="黑体" w:eastAsia="方正小标宋简体"/>
          <w:sz w:val="28"/>
          <w:szCs w:val="28"/>
          <w:lang/>
        </w:rPr>
        <w:tab/>
      </w:r>
      <w:bookmarkEnd w:id="1"/>
      <w:bookmarkEnd w:id="2"/>
      <w:r>
        <w:rPr>
          <w:rStyle w:val="14"/>
          <w:rFonts w:ascii="方正小标宋简体" w:hAnsi="黑体" w:eastAsia="方正小标宋简体"/>
          <w:sz w:val="28"/>
          <w:szCs w:val="28"/>
          <w:lang/>
        </w:rPr>
        <w:fldChar w:fldCharType="begin"/>
      </w:r>
      <w:r>
        <w:rPr>
          <w:rStyle w:val="14"/>
          <w:rFonts w:ascii="方正小标宋简体" w:hAnsi="黑体" w:eastAsia="方正小标宋简体"/>
          <w:sz w:val="28"/>
          <w:szCs w:val="28"/>
          <w:lang/>
        </w:rPr>
        <w:instrText xml:space="preserve"> PAGEREF _Toc80262648 \h </w:instrText>
      </w:r>
      <w:r>
        <w:rPr>
          <w:rStyle w:val="14"/>
          <w:rFonts w:ascii="方正小标宋简体" w:hAnsi="黑体" w:eastAsia="方正小标宋简体"/>
          <w:sz w:val="28"/>
          <w:szCs w:val="28"/>
          <w:lang/>
        </w:rPr>
        <w:fldChar w:fldCharType="separate"/>
      </w:r>
      <w:r>
        <w:rPr>
          <w:rStyle w:val="14"/>
          <w:rFonts w:ascii="方正小标宋简体" w:hAnsi="黑体" w:eastAsia="方正小标宋简体"/>
          <w:sz w:val="28"/>
          <w:szCs w:val="28"/>
          <w:lang/>
        </w:rPr>
        <w:t>- 16 -</w:t>
      </w:r>
      <w:r>
        <w:rPr>
          <w:rStyle w:val="14"/>
          <w:rFonts w:ascii="方正小标宋简体" w:hAnsi="黑体" w:eastAsia="方正小标宋简体"/>
          <w:sz w:val="28"/>
          <w:szCs w:val="28"/>
          <w:lang/>
        </w:rPr>
        <w:fldChar w:fldCharType="end"/>
      </w:r>
      <w:r>
        <w:rPr>
          <w:rStyle w:val="14"/>
          <w:rFonts w:ascii="方正小标宋简体" w:hAnsi="黑体" w:eastAsia="方正小标宋简体"/>
          <w:sz w:val="28"/>
          <w:szCs w:val="28"/>
          <w:lang/>
        </w:rPr>
        <w:fldChar w:fldCharType="end"/>
      </w:r>
    </w:p>
    <w:p>
      <w:pPr>
        <w:pStyle w:val="8"/>
        <w:tabs>
          <w:tab w:val="right" w:leader="dot" w:pos="9060"/>
        </w:tabs>
        <w:spacing w:line="600" w:lineRule="exact"/>
        <w:rPr>
          <w:rStyle w:val="14"/>
          <w:rFonts w:ascii="方正小标宋简体" w:hAnsi="黑体" w:eastAsia="方正小标宋简体"/>
          <w:sz w:val="28"/>
          <w:szCs w:val="28"/>
          <w:lang/>
        </w:rPr>
      </w:pPr>
      <w:r>
        <w:rPr>
          <w:rStyle w:val="14"/>
          <w:rFonts w:ascii="方正小标宋简体" w:hAnsi="黑体" w:eastAsia="方正小标宋简体"/>
          <w:sz w:val="28"/>
          <w:szCs w:val="28"/>
          <w:lang/>
        </w:rPr>
        <w:fldChar w:fldCharType="begin"/>
      </w:r>
      <w:r>
        <w:rPr>
          <w:rStyle w:val="14"/>
          <w:rFonts w:ascii="方正小标宋简体" w:hAnsi="黑体" w:eastAsia="方正小标宋简体"/>
          <w:sz w:val="28"/>
          <w:szCs w:val="28"/>
          <w:lang/>
        </w:rPr>
        <w:instrText xml:space="preserve"> HYPERLINK \l "_Toc80262649" </w:instrText>
      </w:r>
      <w:r>
        <w:rPr>
          <w:rStyle w:val="14"/>
          <w:rFonts w:ascii="方正小标宋简体" w:hAnsi="黑体" w:eastAsia="方正小标宋简体"/>
          <w:sz w:val="28"/>
          <w:szCs w:val="28"/>
          <w:lang/>
        </w:rPr>
        <w:fldChar w:fldCharType="separate"/>
      </w:r>
      <w:r>
        <w:rPr>
          <w:rStyle w:val="14"/>
          <w:rFonts w:ascii="方正小标宋简体" w:hAnsi="黑体" w:eastAsia="方正小标宋简体"/>
          <w:sz w:val="28"/>
          <w:szCs w:val="28"/>
          <w:lang/>
        </w:rPr>
        <w:t>第四部分 附件</w:t>
      </w:r>
      <w:r>
        <w:rPr>
          <w:rStyle w:val="14"/>
          <w:rFonts w:ascii="方正小标宋简体" w:hAnsi="黑体" w:eastAsia="方正小标宋简体"/>
          <w:sz w:val="28"/>
          <w:szCs w:val="28"/>
          <w:lang/>
        </w:rPr>
        <w:tab/>
      </w:r>
      <w:r>
        <w:rPr>
          <w:rStyle w:val="14"/>
          <w:rFonts w:ascii="方正小标宋简体" w:hAnsi="黑体" w:eastAsia="方正小标宋简体"/>
          <w:sz w:val="28"/>
          <w:szCs w:val="28"/>
          <w:lang/>
        </w:rPr>
        <w:fldChar w:fldCharType="begin"/>
      </w:r>
      <w:r>
        <w:rPr>
          <w:rStyle w:val="14"/>
          <w:rFonts w:ascii="方正小标宋简体" w:hAnsi="黑体" w:eastAsia="方正小标宋简体"/>
          <w:sz w:val="28"/>
          <w:szCs w:val="28"/>
          <w:lang/>
        </w:rPr>
        <w:instrText xml:space="preserve"> PAGEREF _Toc80262649 \h </w:instrText>
      </w:r>
      <w:r>
        <w:rPr>
          <w:rStyle w:val="14"/>
          <w:rFonts w:ascii="方正小标宋简体" w:hAnsi="黑体" w:eastAsia="方正小标宋简体"/>
          <w:sz w:val="28"/>
          <w:szCs w:val="28"/>
          <w:lang/>
        </w:rPr>
        <w:fldChar w:fldCharType="separate"/>
      </w:r>
      <w:r>
        <w:rPr>
          <w:rStyle w:val="14"/>
          <w:rFonts w:ascii="方正小标宋简体" w:hAnsi="黑体" w:eastAsia="方正小标宋简体"/>
          <w:sz w:val="28"/>
          <w:szCs w:val="28"/>
          <w:lang/>
        </w:rPr>
        <w:t>- 19 -</w:t>
      </w:r>
      <w:r>
        <w:rPr>
          <w:rStyle w:val="14"/>
          <w:rFonts w:ascii="方正小标宋简体" w:hAnsi="黑体" w:eastAsia="方正小标宋简体"/>
          <w:sz w:val="28"/>
          <w:szCs w:val="28"/>
          <w:lang/>
        </w:rPr>
        <w:fldChar w:fldCharType="end"/>
      </w:r>
      <w:r>
        <w:rPr>
          <w:rStyle w:val="14"/>
          <w:rFonts w:ascii="方正小标宋简体" w:hAnsi="黑体" w:eastAsia="方正小标宋简体"/>
          <w:sz w:val="28"/>
          <w:szCs w:val="28"/>
          <w:lang/>
        </w:rPr>
        <w:fldChar w:fldCharType="end"/>
      </w:r>
    </w:p>
    <w:p>
      <w:pPr>
        <w:pStyle w:val="9"/>
        <w:tabs>
          <w:tab w:val="right" w:leader="dot" w:pos="9060"/>
        </w:tabs>
        <w:spacing w:line="600" w:lineRule="exact"/>
        <w:ind w:left="648"/>
        <w:rPr>
          <w:rStyle w:val="14"/>
          <w:sz w:val="28"/>
          <w:szCs w:val="28"/>
          <w:lang/>
        </w:rPr>
      </w:pPr>
      <w:r>
        <w:rPr>
          <w:rStyle w:val="14"/>
          <w:sz w:val="28"/>
          <w:szCs w:val="28"/>
          <w:lang/>
        </w:rPr>
        <w:fldChar w:fldCharType="begin"/>
      </w:r>
      <w:r>
        <w:rPr>
          <w:rStyle w:val="14"/>
          <w:sz w:val="28"/>
          <w:szCs w:val="28"/>
          <w:lang/>
        </w:rPr>
        <w:instrText xml:space="preserve"> HYPERLINK \l "_Toc80262650" </w:instrText>
      </w:r>
      <w:r>
        <w:rPr>
          <w:rStyle w:val="14"/>
          <w:sz w:val="28"/>
          <w:szCs w:val="28"/>
          <w:lang/>
        </w:rPr>
        <w:fldChar w:fldCharType="separate"/>
      </w:r>
      <w:r>
        <w:rPr>
          <w:rStyle w:val="14"/>
          <w:sz w:val="28"/>
          <w:szCs w:val="28"/>
          <w:lang/>
        </w:rPr>
        <w:t>附件1</w:t>
      </w:r>
      <w:r>
        <w:rPr>
          <w:rStyle w:val="14"/>
          <w:sz w:val="28"/>
          <w:szCs w:val="28"/>
          <w:lang/>
        </w:rPr>
        <w:tab/>
      </w:r>
      <w:r>
        <w:rPr>
          <w:rStyle w:val="14"/>
          <w:sz w:val="28"/>
          <w:szCs w:val="28"/>
          <w:lang/>
        </w:rPr>
        <w:fldChar w:fldCharType="begin"/>
      </w:r>
      <w:r>
        <w:rPr>
          <w:rStyle w:val="14"/>
          <w:sz w:val="28"/>
          <w:szCs w:val="28"/>
          <w:lang/>
        </w:rPr>
        <w:instrText xml:space="preserve"> PAGEREF _Toc80262650 \h </w:instrText>
      </w:r>
      <w:r>
        <w:rPr>
          <w:rStyle w:val="14"/>
          <w:sz w:val="28"/>
          <w:szCs w:val="28"/>
          <w:lang/>
        </w:rPr>
        <w:fldChar w:fldCharType="separate"/>
      </w:r>
      <w:r>
        <w:rPr>
          <w:rStyle w:val="14"/>
          <w:sz w:val="28"/>
          <w:szCs w:val="28"/>
          <w:lang/>
        </w:rPr>
        <w:t>- 20 -</w:t>
      </w:r>
      <w:r>
        <w:rPr>
          <w:rStyle w:val="14"/>
          <w:sz w:val="28"/>
          <w:szCs w:val="28"/>
          <w:lang/>
        </w:rPr>
        <w:fldChar w:fldCharType="end"/>
      </w:r>
      <w:r>
        <w:rPr>
          <w:rStyle w:val="14"/>
          <w:sz w:val="28"/>
          <w:szCs w:val="28"/>
          <w:lang/>
        </w:rPr>
        <w:fldChar w:fldCharType="end"/>
      </w:r>
    </w:p>
    <w:p>
      <w:pPr>
        <w:pStyle w:val="9"/>
        <w:tabs>
          <w:tab w:val="right" w:leader="dot" w:pos="9060"/>
        </w:tabs>
        <w:spacing w:line="600" w:lineRule="exact"/>
        <w:ind w:left="648"/>
        <w:rPr>
          <w:rStyle w:val="14"/>
          <w:sz w:val="28"/>
          <w:szCs w:val="28"/>
          <w:lang/>
        </w:rPr>
      </w:pPr>
      <w:r>
        <w:rPr>
          <w:rStyle w:val="14"/>
          <w:sz w:val="28"/>
          <w:szCs w:val="28"/>
          <w:lang/>
        </w:rPr>
        <w:fldChar w:fldCharType="begin"/>
      </w:r>
      <w:r>
        <w:rPr>
          <w:rStyle w:val="14"/>
          <w:sz w:val="28"/>
          <w:szCs w:val="28"/>
          <w:lang/>
        </w:rPr>
        <w:instrText xml:space="preserve"> HYPERLINK \l "_Toc80262651" </w:instrText>
      </w:r>
      <w:r>
        <w:rPr>
          <w:rStyle w:val="14"/>
          <w:sz w:val="28"/>
          <w:szCs w:val="28"/>
          <w:lang/>
        </w:rPr>
        <w:fldChar w:fldCharType="separate"/>
      </w:r>
      <w:r>
        <w:rPr>
          <w:rStyle w:val="14"/>
          <w:sz w:val="28"/>
          <w:szCs w:val="28"/>
          <w:lang/>
        </w:rPr>
        <w:t>附件2</w:t>
      </w:r>
      <w:r>
        <w:rPr>
          <w:rStyle w:val="14"/>
          <w:sz w:val="28"/>
          <w:szCs w:val="28"/>
          <w:lang/>
        </w:rPr>
        <w:tab/>
      </w:r>
      <w:r>
        <w:rPr>
          <w:rStyle w:val="14"/>
          <w:sz w:val="28"/>
          <w:szCs w:val="28"/>
          <w:lang/>
        </w:rPr>
        <w:fldChar w:fldCharType="begin"/>
      </w:r>
      <w:r>
        <w:rPr>
          <w:rStyle w:val="14"/>
          <w:sz w:val="28"/>
          <w:szCs w:val="28"/>
          <w:lang/>
        </w:rPr>
        <w:instrText xml:space="preserve"> PAGEREF _Toc80262651 \h </w:instrText>
      </w:r>
      <w:r>
        <w:rPr>
          <w:rStyle w:val="14"/>
          <w:sz w:val="28"/>
          <w:szCs w:val="28"/>
          <w:lang/>
        </w:rPr>
        <w:fldChar w:fldCharType="separate"/>
      </w:r>
      <w:r>
        <w:rPr>
          <w:rStyle w:val="14"/>
          <w:sz w:val="28"/>
          <w:szCs w:val="28"/>
          <w:lang/>
        </w:rPr>
        <w:t>- 24 -</w:t>
      </w:r>
      <w:r>
        <w:rPr>
          <w:rStyle w:val="14"/>
          <w:sz w:val="28"/>
          <w:szCs w:val="28"/>
          <w:lang/>
        </w:rPr>
        <w:fldChar w:fldCharType="end"/>
      </w:r>
      <w:r>
        <w:rPr>
          <w:rStyle w:val="14"/>
          <w:sz w:val="28"/>
          <w:szCs w:val="28"/>
          <w:lang/>
        </w:rPr>
        <w:fldChar w:fldCharType="end"/>
      </w:r>
    </w:p>
    <w:p>
      <w:pPr>
        <w:pStyle w:val="9"/>
        <w:tabs>
          <w:tab w:val="right" w:leader="dot" w:pos="9060"/>
        </w:tabs>
        <w:spacing w:line="600" w:lineRule="exact"/>
        <w:ind w:left="648"/>
        <w:rPr>
          <w:rStyle w:val="14"/>
          <w:sz w:val="28"/>
          <w:szCs w:val="28"/>
          <w:lang/>
        </w:rPr>
      </w:pPr>
      <w:r>
        <w:rPr>
          <w:rStyle w:val="14"/>
          <w:sz w:val="28"/>
          <w:szCs w:val="28"/>
          <w:lang/>
        </w:rPr>
        <w:fldChar w:fldCharType="begin"/>
      </w:r>
      <w:r>
        <w:rPr>
          <w:rStyle w:val="14"/>
          <w:sz w:val="28"/>
          <w:szCs w:val="28"/>
          <w:lang/>
        </w:rPr>
        <w:instrText xml:space="preserve"> HYPERLINK \l "_Toc80262652" </w:instrText>
      </w:r>
      <w:r>
        <w:rPr>
          <w:rStyle w:val="14"/>
          <w:sz w:val="28"/>
          <w:szCs w:val="28"/>
          <w:lang/>
        </w:rPr>
        <w:fldChar w:fldCharType="separate"/>
      </w:r>
      <w:r>
        <w:rPr>
          <w:rStyle w:val="14"/>
          <w:sz w:val="28"/>
          <w:szCs w:val="28"/>
          <w:lang/>
        </w:rPr>
        <w:t>附件2-1</w:t>
      </w:r>
      <w:r>
        <w:rPr>
          <w:rStyle w:val="14"/>
          <w:sz w:val="28"/>
          <w:szCs w:val="28"/>
          <w:lang/>
        </w:rPr>
        <w:tab/>
      </w:r>
      <w:r>
        <w:rPr>
          <w:rStyle w:val="14"/>
          <w:sz w:val="28"/>
          <w:szCs w:val="28"/>
          <w:lang/>
        </w:rPr>
        <w:fldChar w:fldCharType="begin"/>
      </w:r>
      <w:r>
        <w:rPr>
          <w:rStyle w:val="14"/>
          <w:sz w:val="28"/>
          <w:szCs w:val="28"/>
          <w:lang/>
        </w:rPr>
        <w:instrText xml:space="preserve"> PAGEREF _Toc80262652 \h </w:instrText>
      </w:r>
      <w:r>
        <w:rPr>
          <w:rStyle w:val="14"/>
          <w:sz w:val="28"/>
          <w:szCs w:val="28"/>
          <w:lang/>
        </w:rPr>
        <w:fldChar w:fldCharType="separate"/>
      </w:r>
      <w:r>
        <w:rPr>
          <w:rStyle w:val="14"/>
          <w:sz w:val="28"/>
          <w:szCs w:val="28"/>
          <w:lang/>
        </w:rPr>
        <w:t>- 31 -</w:t>
      </w:r>
      <w:r>
        <w:rPr>
          <w:rStyle w:val="14"/>
          <w:sz w:val="28"/>
          <w:szCs w:val="28"/>
          <w:lang/>
        </w:rPr>
        <w:fldChar w:fldCharType="end"/>
      </w:r>
      <w:r>
        <w:rPr>
          <w:rStyle w:val="14"/>
          <w:sz w:val="28"/>
          <w:szCs w:val="28"/>
          <w:lang/>
        </w:rPr>
        <w:fldChar w:fldCharType="end"/>
      </w:r>
    </w:p>
    <w:p>
      <w:pPr>
        <w:pStyle w:val="9"/>
        <w:tabs>
          <w:tab w:val="right" w:leader="dot" w:pos="9060"/>
        </w:tabs>
        <w:spacing w:line="600" w:lineRule="exact"/>
        <w:ind w:left="648"/>
        <w:rPr>
          <w:rStyle w:val="14"/>
          <w:sz w:val="28"/>
          <w:szCs w:val="28"/>
          <w:lang/>
        </w:rPr>
      </w:pPr>
      <w:r>
        <w:rPr>
          <w:rStyle w:val="14"/>
          <w:sz w:val="28"/>
          <w:szCs w:val="28"/>
          <w:lang/>
        </w:rPr>
        <w:fldChar w:fldCharType="begin"/>
      </w:r>
      <w:r>
        <w:rPr>
          <w:rStyle w:val="14"/>
          <w:sz w:val="28"/>
          <w:szCs w:val="28"/>
          <w:lang/>
        </w:rPr>
        <w:instrText xml:space="preserve"> HYPERLINK \l "_Toc80262653" </w:instrText>
      </w:r>
      <w:r>
        <w:rPr>
          <w:rStyle w:val="14"/>
          <w:sz w:val="28"/>
          <w:szCs w:val="28"/>
          <w:lang/>
        </w:rPr>
        <w:fldChar w:fldCharType="separate"/>
      </w:r>
      <w:r>
        <w:rPr>
          <w:rStyle w:val="14"/>
          <w:sz w:val="28"/>
          <w:szCs w:val="28"/>
          <w:lang/>
        </w:rPr>
        <w:t>附件2-2</w:t>
      </w:r>
      <w:r>
        <w:rPr>
          <w:rStyle w:val="14"/>
          <w:sz w:val="28"/>
          <w:szCs w:val="28"/>
          <w:lang/>
        </w:rPr>
        <w:tab/>
      </w:r>
      <w:r>
        <w:rPr>
          <w:rStyle w:val="14"/>
          <w:sz w:val="28"/>
          <w:szCs w:val="28"/>
          <w:lang/>
        </w:rPr>
        <w:fldChar w:fldCharType="begin"/>
      </w:r>
      <w:r>
        <w:rPr>
          <w:rStyle w:val="14"/>
          <w:sz w:val="28"/>
          <w:szCs w:val="28"/>
          <w:lang/>
        </w:rPr>
        <w:instrText xml:space="preserve"> PAGEREF _Toc80262653 \h </w:instrText>
      </w:r>
      <w:r>
        <w:rPr>
          <w:rStyle w:val="14"/>
          <w:sz w:val="28"/>
          <w:szCs w:val="28"/>
          <w:lang/>
        </w:rPr>
        <w:fldChar w:fldCharType="separate"/>
      </w:r>
      <w:r>
        <w:rPr>
          <w:rStyle w:val="14"/>
          <w:sz w:val="28"/>
          <w:szCs w:val="28"/>
          <w:lang/>
        </w:rPr>
        <w:t>- 36 -</w:t>
      </w:r>
      <w:r>
        <w:rPr>
          <w:rStyle w:val="14"/>
          <w:sz w:val="28"/>
          <w:szCs w:val="28"/>
          <w:lang/>
        </w:rPr>
        <w:fldChar w:fldCharType="end"/>
      </w:r>
      <w:r>
        <w:rPr>
          <w:rStyle w:val="14"/>
          <w:sz w:val="28"/>
          <w:szCs w:val="28"/>
          <w:lang/>
        </w:rPr>
        <w:fldChar w:fldCharType="end"/>
      </w:r>
    </w:p>
    <w:p>
      <w:pPr>
        <w:pStyle w:val="8"/>
        <w:tabs>
          <w:tab w:val="right" w:leader="dot" w:pos="9060"/>
        </w:tabs>
        <w:spacing w:line="600" w:lineRule="exact"/>
        <w:rPr>
          <w:rStyle w:val="14"/>
          <w:rFonts w:ascii="方正小标宋简体" w:hAnsi="黑体" w:eastAsia="方正小标宋简体"/>
          <w:sz w:val="28"/>
          <w:szCs w:val="28"/>
          <w:lang/>
        </w:rPr>
      </w:pPr>
      <w:r>
        <w:rPr>
          <w:rStyle w:val="14"/>
          <w:rFonts w:ascii="方正小标宋简体" w:hAnsi="黑体" w:eastAsia="方正小标宋简体"/>
          <w:sz w:val="28"/>
          <w:szCs w:val="28"/>
          <w:lang/>
        </w:rPr>
        <w:fldChar w:fldCharType="begin"/>
      </w:r>
      <w:r>
        <w:rPr>
          <w:rStyle w:val="14"/>
          <w:rFonts w:ascii="方正小标宋简体" w:hAnsi="黑体" w:eastAsia="方正小标宋简体"/>
          <w:sz w:val="28"/>
          <w:szCs w:val="28"/>
          <w:lang/>
        </w:rPr>
        <w:instrText xml:space="preserve"> HYPERLINK \l "_Toc80262654" </w:instrText>
      </w:r>
      <w:r>
        <w:rPr>
          <w:rStyle w:val="14"/>
          <w:rFonts w:ascii="方正小标宋简体" w:hAnsi="黑体" w:eastAsia="方正小标宋简体"/>
          <w:sz w:val="28"/>
          <w:szCs w:val="28"/>
          <w:lang/>
        </w:rPr>
        <w:fldChar w:fldCharType="separate"/>
      </w:r>
      <w:r>
        <w:rPr>
          <w:rStyle w:val="14"/>
          <w:rFonts w:ascii="方正小标宋简体" w:hAnsi="黑体" w:eastAsia="方正小标宋简体"/>
          <w:sz w:val="28"/>
          <w:szCs w:val="28"/>
          <w:lang/>
        </w:rPr>
        <w:t>第五部分 附表</w:t>
      </w:r>
      <w:r>
        <w:rPr>
          <w:rStyle w:val="14"/>
          <w:rFonts w:ascii="方正小标宋简体" w:hAnsi="黑体" w:eastAsia="方正小标宋简体"/>
          <w:sz w:val="28"/>
          <w:szCs w:val="28"/>
          <w:lang/>
        </w:rPr>
        <w:tab/>
      </w:r>
      <w:r>
        <w:rPr>
          <w:rStyle w:val="14"/>
          <w:rFonts w:ascii="方正小标宋简体" w:hAnsi="黑体" w:eastAsia="方正小标宋简体"/>
          <w:sz w:val="28"/>
          <w:szCs w:val="28"/>
          <w:lang/>
        </w:rPr>
        <w:fldChar w:fldCharType="begin"/>
      </w:r>
      <w:r>
        <w:rPr>
          <w:rStyle w:val="14"/>
          <w:rFonts w:ascii="方正小标宋简体" w:hAnsi="黑体" w:eastAsia="方正小标宋简体"/>
          <w:sz w:val="28"/>
          <w:szCs w:val="28"/>
          <w:lang/>
        </w:rPr>
        <w:instrText xml:space="preserve"> PAGEREF _Toc80262654 \h </w:instrText>
      </w:r>
      <w:r>
        <w:rPr>
          <w:rStyle w:val="14"/>
          <w:rFonts w:ascii="方正小标宋简体" w:hAnsi="黑体" w:eastAsia="方正小标宋简体"/>
          <w:sz w:val="28"/>
          <w:szCs w:val="28"/>
          <w:lang/>
        </w:rPr>
        <w:fldChar w:fldCharType="separate"/>
      </w:r>
      <w:r>
        <w:rPr>
          <w:rStyle w:val="14"/>
          <w:rFonts w:ascii="方正小标宋简体" w:hAnsi="黑体" w:eastAsia="方正小标宋简体"/>
          <w:sz w:val="28"/>
          <w:szCs w:val="28"/>
          <w:lang/>
        </w:rPr>
        <w:t>- 41 -</w:t>
      </w:r>
      <w:r>
        <w:rPr>
          <w:rStyle w:val="14"/>
          <w:rFonts w:ascii="方正小标宋简体" w:hAnsi="黑体" w:eastAsia="方正小标宋简体"/>
          <w:sz w:val="28"/>
          <w:szCs w:val="28"/>
          <w:lang/>
        </w:rPr>
        <w:fldChar w:fldCharType="end"/>
      </w:r>
      <w:r>
        <w:rPr>
          <w:rStyle w:val="14"/>
          <w:rFonts w:ascii="方正小标宋简体" w:hAnsi="黑体" w:eastAsia="方正小标宋简体"/>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"_Toc80262655"</w:instrText>
      </w:r>
      <w:r>
        <w:rPr>
          <w:rStyle w:val="14"/>
          <w:sz w:val="28"/>
          <w:szCs w:val="28"/>
          <w:lang/>
        </w:rPr>
        <w:instrText xml:space="preserve"> </w:instrText>
      </w:r>
      <w:r>
        <w:rPr>
          <w:rStyle w:val="14"/>
          <w:sz w:val="28"/>
          <w:szCs w:val="28"/>
          <w:lang/>
        </w:rPr>
        <w:fldChar w:fldCharType="separate"/>
      </w:r>
      <w:r>
        <w:rPr>
          <w:rStyle w:val="14"/>
          <w:sz w:val="28"/>
          <w:szCs w:val="28"/>
          <w:lang/>
        </w:rPr>
        <w:t>一、收入支出决算总表</w:t>
      </w:r>
      <w:r>
        <w:rPr>
          <w:rStyle w:val="14"/>
          <w:lang/>
        </w:rPr>
        <w:tab/>
      </w:r>
      <w:r>
        <w:rPr>
          <w:rStyle w:val="14"/>
          <w:lang/>
        </w:rPr>
        <w:fldChar w:fldCharType="begin"/>
      </w:r>
      <w:r>
        <w:rPr>
          <w:rStyle w:val="14"/>
          <w:lang/>
        </w:rPr>
        <w:instrText xml:space="preserve"> PAGEREF _Toc80262655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"_Toc80262656"</w:instrText>
      </w:r>
      <w:r>
        <w:rPr>
          <w:rStyle w:val="14"/>
          <w:sz w:val="28"/>
          <w:szCs w:val="28"/>
          <w:lang/>
        </w:rPr>
        <w:instrText xml:space="preserve"> </w:instrText>
      </w:r>
      <w:r>
        <w:rPr>
          <w:rStyle w:val="14"/>
          <w:sz w:val="28"/>
          <w:szCs w:val="28"/>
          <w:lang/>
        </w:rPr>
        <w:fldChar w:fldCharType="separate"/>
      </w:r>
      <w:r>
        <w:rPr>
          <w:rStyle w:val="14"/>
          <w:sz w:val="28"/>
          <w:szCs w:val="28"/>
          <w:lang/>
        </w:rPr>
        <w:t>二、收入决算表</w:t>
      </w:r>
      <w:r>
        <w:rPr>
          <w:rStyle w:val="14"/>
          <w:lang/>
        </w:rPr>
        <w:tab/>
      </w:r>
      <w:r>
        <w:rPr>
          <w:rStyle w:val="14"/>
          <w:lang/>
        </w:rPr>
        <w:fldChar w:fldCharType="begin"/>
      </w:r>
      <w:r>
        <w:rPr>
          <w:rStyle w:val="14"/>
          <w:lang/>
        </w:rPr>
        <w:instrText xml:space="preserve"> PAGEREF _Toc80262656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"_Toc80262657"</w:instrText>
      </w:r>
      <w:r>
        <w:rPr>
          <w:rStyle w:val="14"/>
          <w:sz w:val="28"/>
          <w:szCs w:val="28"/>
          <w:lang/>
        </w:rPr>
        <w:instrText xml:space="preserve"> </w:instrText>
      </w:r>
      <w:r>
        <w:rPr>
          <w:rStyle w:val="14"/>
          <w:sz w:val="28"/>
          <w:szCs w:val="28"/>
          <w:lang/>
        </w:rPr>
        <w:fldChar w:fldCharType="separate"/>
      </w:r>
      <w:r>
        <w:rPr>
          <w:rStyle w:val="14"/>
          <w:sz w:val="28"/>
          <w:szCs w:val="28"/>
          <w:lang/>
        </w:rPr>
        <w:t>三、支出决算表</w:t>
      </w:r>
      <w:r>
        <w:rPr>
          <w:rStyle w:val="14"/>
          <w:lang/>
        </w:rPr>
        <w:tab/>
      </w:r>
      <w:r>
        <w:rPr>
          <w:rStyle w:val="14"/>
          <w:lang/>
        </w:rPr>
        <w:fldChar w:fldCharType="begin"/>
      </w:r>
      <w:r>
        <w:rPr>
          <w:rStyle w:val="14"/>
          <w:lang/>
        </w:rPr>
        <w:instrText xml:space="preserve"> PAGEREF _Toc80262657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"_Toc80262658"</w:instrText>
      </w:r>
      <w:r>
        <w:rPr>
          <w:rStyle w:val="14"/>
          <w:sz w:val="28"/>
          <w:szCs w:val="28"/>
          <w:lang/>
        </w:rPr>
        <w:instrText xml:space="preserve"> </w:instrText>
      </w:r>
      <w:r>
        <w:rPr>
          <w:rStyle w:val="14"/>
          <w:sz w:val="28"/>
          <w:szCs w:val="28"/>
          <w:lang/>
        </w:rPr>
        <w:fldChar w:fldCharType="separate"/>
      </w:r>
      <w:r>
        <w:rPr>
          <w:rStyle w:val="14"/>
          <w:sz w:val="28"/>
          <w:szCs w:val="28"/>
          <w:lang/>
        </w:rPr>
        <w:t>四、财政拨款收入支出决算总表</w:t>
      </w:r>
      <w:r>
        <w:rPr>
          <w:rStyle w:val="14"/>
          <w:lang/>
        </w:rPr>
        <w:tab/>
      </w:r>
      <w:r>
        <w:rPr>
          <w:rStyle w:val="14"/>
          <w:lang/>
        </w:rPr>
        <w:fldChar w:fldCharType="begin"/>
      </w:r>
      <w:r>
        <w:rPr>
          <w:rStyle w:val="14"/>
          <w:lang/>
        </w:rPr>
        <w:instrText xml:space="preserve"> PAGEREF _Toc80262658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"_Toc80262659"</w:instrText>
      </w:r>
      <w:r>
        <w:rPr>
          <w:rStyle w:val="14"/>
          <w:sz w:val="28"/>
          <w:szCs w:val="28"/>
          <w:lang/>
        </w:rPr>
        <w:instrText xml:space="preserve"> </w:instrText>
      </w:r>
      <w:r>
        <w:rPr>
          <w:rStyle w:val="14"/>
          <w:sz w:val="28"/>
          <w:szCs w:val="28"/>
          <w:lang/>
        </w:rPr>
        <w:fldChar w:fldCharType="separate"/>
      </w:r>
      <w:r>
        <w:rPr>
          <w:rStyle w:val="14"/>
          <w:sz w:val="28"/>
          <w:szCs w:val="28"/>
          <w:lang/>
        </w:rPr>
        <w:t>五、财政拨款支出决算明细表</w:t>
      </w:r>
      <w:r>
        <w:rPr>
          <w:rStyle w:val="14"/>
          <w:lang/>
        </w:rPr>
        <w:tab/>
      </w:r>
      <w:r>
        <w:rPr>
          <w:rStyle w:val="14"/>
          <w:lang/>
        </w:rPr>
        <w:fldChar w:fldCharType="begin"/>
      </w:r>
      <w:r>
        <w:rPr>
          <w:rStyle w:val="14"/>
          <w:lang/>
        </w:rPr>
        <w:instrText xml:space="preserve"> PAGEREF _Toc80262659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"_Toc80262660"</w:instrText>
      </w:r>
      <w:r>
        <w:rPr>
          <w:rStyle w:val="14"/>
          <w:sz w:val="28"/>
          <w:szCs w:val="28"/>
          <w:lang/>
        </w:rPr>
        <w:instrText xml:space="preserve"> </w:instrText>
      </w:r>
      <w:r>
        <w:rPr>
          <w:rStyle w:val="14"/>
          <w:sz w:val="28"/>
          <w:szCs w:val="28"/>
          <w:lang/>
        </w:rPr>
        <w:fldChar w:fldCharType="separate"/>
      </w:r>
      <w:r>
        <w:rPr>
          <w:rStyle w:val="14"/>
          <w:sz w:val="28"/>
          <w:szCs w:val="28"/>
          <w:lang/>
        </w:rPr>
        <w:t>六、一般公共预算财政拨款支出决算表</w:t>
      </w:r>
      <w:r>
        <w:rPr>
          <w:rStyle w:val="14"/>
          <w:lang/>
        </w:rPr>
        <w:tab/>
      </w:r>
      <w:r>
        <w:rPr>
          <w:rStyle w:val="14"/>
          <w:lang/>
        </w:rPr>
        <w:fldChar w:fldCharType="begin"/>
      </w:r>
      <w:r>
        <w:rPr>
          <w:rStyle w:val="14"/>
          <w:lang/>
        </w:rPr>
        <w:instrText xml:space="preserve"> PAGEREF _Toc80262660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"_Toc80262661"</w:instrText>
      </w:r>
      <w:r>
        <w:rPr>
          <w:rStyle w:val="14"/>
          <w:sz w:val="28"/>
          <w:szCs w:val="28"/>
          <w:lang/>
        </w:rPr>
        <w:instrText xml:space="preserve"> </w:instrText>
      </w:r>
      <w:r>
        <w:rPr>
          <w:rStyle w:val="14"/>
          <w:sz w:val="28"/>
          <w:szCs w:val="28"/>
          <w:lang/>
        </w:rPr>
        <w:fldChar w:fldCharType="separate"/>
      </w:r>
      <w:r>
        <w:rPr>
          <w:rStyle w:val="14"/>
          <w:sz w:val="28"/>
          <w:szCs w:val="28"/>
          <w:lang/>
        </w:rPr>
        <w:t>七、一般公共预算财政拨款支出决算明细表</w:t>
      </w:r>
      <w:r>
        <w:rPr>
          <w:rStyle w:val="14"/>
          <w:lang/>
        </w:rPr>
        <w:tab/>
      </w:r>
      <w:r>
        <w:rPr>
          <w:rStyle w:val="14"/>
          <w:lang/>
        </w:rPr>
        <w:fldChar w:fldCharType="begin"/>
      </w:r>
      <w:r>
        <w:rPr>
          <w:rStyle w:val="14"/>
          <w:lang/>
        </w:rPr>
        <w:instrText xml:space="preserve"> PAGEREF _Toc80262661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"_Toc80262662"</w:instrText>
      </w:r>
      <w:r>
        <w:rPr>
          <w:rStyle w:val="14"/>
          <w:sz w:val="28"/>
          <w:szCs w:val="28"/>
          <w:lang/>
        </w:rPr>
        <w:instrText xml:space="preserve"> </w:instrText>
      </w:r>
      <w:r>
        <w:rPr>
          <w:rStyle w:val="14"/>
          <w:sz w:val="28"/>
          <w:szCs w:val="28"/>
          <w:lang/>
        </w:rPr>
        <w:fldChar w:fldCharType="separate"/>
      </w:r>
      <w:r>
        <w:rPr>
          <w:rStyle w:val="14"/>
          <w:sz w:val="28"/>
          <w:szCs w:val="28"/>
          <w:lang/>
        </w:rPr>
        <w:t>八、一般公共预算财政拨款基本支出决算表</w:t>
      </w:r>
      <w:r>
        <w:rPr>
          <w:rStyle w:val="14"/>
          <w:lang/>
        </w:rPr>
        <w:tab/>
      </w:r>
      <w:r>
        <w:rPr>
          <w:rStyle w:val="14"/>
          <w:lang/>
        </w:rPr>
        <w:fldChar w:fldCharType="begin"/>
      </w:r>
      <w:r>
        <w:rPr>
          <w:rStyle w:val="14"/>
          <w:lang/>
        </w:rPr>
        <w:instrText xml:space="preserve"> PAGEREF _Toc80262662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"_Toc80262663"</w:instrText>
      </w:r>
      <w:r>
        <w:rPr>
          <w:rStyle w:val="14"/>
          <w:sz w:val="28"/>
          <w:szCs w:val="28"/>
          <w:lang/>
        </w:rPr>
        <w:instrText xml:space="preserve"> </w:instrText>
      </w:r>
      <w:r>
        <w:rPr>
          <w:rStyle w:val="14"/>
          <w:sz w:val="28"/>
          <w:szCs w:val="28"/>
          <w:lang/>
        </w:rPr>
        <w:fldChar w:fldCharType="separate"/>
      </w:r>
      <w:r>
        <w:rPr>
          <w:rStyle w:val="14"/>
          <w:sz w:val="28"/>
          <w:szCs w:val="28"/>
          <w:lang/>
        </w:rPr>
        <w:t>九、一般公共预算财政拨款项目支出决算表</w:t>
      </w:r>
      <w:r>
        <w:rPr>
          <w:rStyle w:val="14"/>
          <w:lang/>
        </w:rPr>
        <w:tab/>
      </w:r>
      <w:r>
        <w:rPr>
          <w:rStyle w:val="14"/>
          <w:lang/>
        </w:rPr>
        <w:fldChar w:fldCharType="begin"/>
      </w:r>
      <w:r>
        <w:rPr>
          <w:rStyle w:val="14"/>
          <w:lang/>
        </w:rPr>
        <w:instrText xml:space="preserve"> PAGEREF _Toc80262663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"_Toc80262664"</w:instrText>
      </w:r>
      <w:r>
        <w:rPr>
          <w:rStyle w:val="14"/>
          <w:sz w:val="28"/>
          <w:szCs w:val="28"/>
          <w:lang/>
        </w:rPr>
        <w:instrText xml:space="preserve"> </w:instrText>
      </w:r>
      <w:r>
        <w:rPr>
          <w:rStyle w:val="14"/>
          <w:sz w:val="28"/>
          <w:szCs w:val="28"/>
          <w:lang/>
        </w:rPr>
        <w:fldChar w:fldCharType="separate"/>
      </w:r>
      <w:r>
        <w:rPr>
          <w:rStyle w:val="14"/>
          <w:sz w:val="28"/>
          <w:szCs w:val="28"/>
          <w:lang/>
        </w:rPr>
        <w:t>十、一般公共预算财政拨款“三公”经费支出决算表</w:t>
      </w:r>
      <w:r>
        <w:rPr>
          <w:rStyle w:val="14"/>
          <w:lang/>
        </w:rPr>
        <w:tab/>
      </w:r>
      <w:r>
        <w:rPr>
          <w:rStyle w:val="14"/>
          <w:lang/>
        </w:rPr>
        <w:fldChar w:fldCharType="begin"/>
      </w:r>
      <w:r>
        <w:rPr>
          <w:rStyle w:val="14"/>
          <w:lang/>
        </w:rPr>
        <w:instrText xml:space="preserve"> PAGEREF _Toc80262664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"_Toc80262665"</w:instrText>
      </w:r>
      <w:r>
        <w:rPr>
          <w:rStyle w:val="14"/>
          <w:sz w:val="28"/>
          <w:szCs w:val="28"/>
          <w:lang/>
        </w:rPr>
        <w:instrText xml:space="preserve"> </w:instrText>
      </w:r>
      <w:r>
        <w:rPr>
          <w:rStyle w:val="14"/>
          <w:sz w:val="28"/>
          <w:szCs w:val="28"/>
          <w:lang/>
        </w:rPr>
        <w:fldChar w:fldCharType="separate"/>
      </w:r>
      <w:r>
        <w:rPr>
          <w:rStyle w:val="14"/>
          <w:sz w:val="28"/>
          <w:szCs w:val="28"/>
          <w:lang/>
        </w:rPr>
        <w:t>十一、政府性基金预算财政拨款收入支出决算表</w:t>
      </w:r>
      <w:r>
        <w:rPr>
          <w:rStyle w:val="14"/>
          <w:lang/>
        </w:rPr>
        <w:tab/>
      </w:r>
      <w:r>
        <w:rPr>
          <w:rStyle w:val="14"/>
          <w:lang/>
        </w:rPr>
        <w:fldChar w:fldCharType="begin"/>
      </w:r>
      <w:r>
        <w:rPr>
          <w:rStyle w:val="14"/>
          <w:lang/>
        </w:rPr>
        <w:instrText xml:space="preserve"> PAGEREF _Toc80262665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"_Toc80262666"</w:instrText>
      </w:r>
      <w:r>
        <w:rPr>
          <w:rStyle w:val="14"/>
          <w:sz w:val="28"/>
          <w:szCs w:val="28"/>
          <w:lang/>
        </w:rPr>
        <w:instrText xml:space="preserve"> </w:instrText>
      </w:r>
      <w:r>
        <w:rPr>
          <w:rStyle w:val="14"/>
          <w:sz w:val="28"/>
          <w:szCs w:val="28"/>
          <w:lang/>
        </w:rPr>
        <w:fldChar w:fldCharType="separate"/>
      </w:r>
      <w:r>
        <w:rPr>
          <w:rStyle w:val="14"/>
          <w:sz w:val="28"/>
          <w:szCs w:val="28"/>
          <w:lang/>
        </w:rPr>
        <w:t>十二、政府性基金预算财政拨款“三公”经费支出决算表</w:t>
      </w:r>
      <w:r>
        <w:rPr>
          <w:rStyle w:val="14"/>
          <w:lang/>
        </w:rPr>
        <w:tab/>
      </w:r>
      <w:r>
        <w:rPr>
          <w:rStyle w:val="14"/>
          <w:lang/>
        </w:rPr>
        <w:fldChar w:fldCharType="begin"/>
      </w:r>
      <w:r>
        <w:rPr>
          <w:rStyle w:val="14"/>
          <w:lang/>
        </w:rPr>
        <w:instrText xml:space="preserve"> PAGEREF _Toc80262666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"_Toc80262667"</w:instrText>
      </w:r>
      <w:r>
        <w:rPr>
          <w:rStyle w:val="14"/>
          <w:sz w:val="28"/>
          <w:szCs w:val="28"/>
          <w:lang/>
        </w:rPr>
        <w:instrText xml:space="preserve"> </w:instrText>
      </w:r>
      <w:r>
        <w:rPr>
          <w:rStyle w:val="14"/>
          <w:sz w:val="28"/>
          <w:szCs w:val="28"/>
          <w:lang/>
        </w:rPr>
        <w:fldChar w:fldCharType="separate"/>
      </w:r>
      <w:r>
        <w:rPr>
          <w:rStyle w:val="14"/>
          <w:sz w:val="28"/>
          <w:szCs w:val="28"/>
          <w:lang/>
        </w:rPr>
        <w:t>十三、国有资本经营预算财政拨款收入支出决算表</w:t>
      </w:r>
      <w:r>
        <w:rPr>
          <w:rStyle w:val="14"/>
          <w:lang/>
        </w:rPr>
        <w:tab/>
      </w:r>
      <w:r>
        <w:rPr>
          <w:rStyle w:val="14"/>
          <w:lang/>
        </w:rPr>
        <w:fldChar w:fldCharType="begin"/>
      </w:r>
      <w:r>
        <w:rPr>
          <w:rStyle w:val="14"/>
          <w:lang/>
        </w:rPr>
        <w:instrText xml:space="preserve"> PAGEREF _Toc80262667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pStyle w:val="9"/>
        <w:tabs>
          <w:tab w:val="right" w:leader="dot" w:pos="9060"/>
        </w:tabs>
        <w:spacing w:line="600" w:lineRule="exact"/>
        <w:ind w:left="648"/>
        <w:rPr>
          <w:rStyle w:val="14"/>
          <w:lang/>
        </w:rPr>
      </w:pPr>
      <w:r>
        <w:rPr>
          <w:rStyle w:val="14"/>
          <w:sz w:val="28"/>
          <w:szCs w:val="28"/>
          <w:lang/>
        </w:rPr>
        <w:fldChar w:fldCharType="begin"/>
      </w:r>
      <w:r>
        <w:rPr>
          <w:rStyle w:val="14"/>
          <w:sz w:val="28"/>
          <w:szCs w:val="28"/>
          <w:lang/>
        </w:rPr>
        <w:instrText xml:space="preserve"> </w:instrText>
      </w:r>
      <w:r>
        <w:rPr>
          <w:rStyle w:val="14"/>
          <w:lang/>
        </w:rPr>
        <w:instrText xml:space="preserve">HYPERLINK \l "_Toc80262668"</w:instrText>
      </w:r>
      <w:r>
        <w:rPr>
          <w:rStyle w:val="14"/>
          <w:sz w:val="28"/>
          <w:szCs w:val="28"/>
          <w:lang/>
        </w:rPr>
        <w:instrText xml:space="preserve"> </w:instrText>
      </w:r>
      <w:r>
        <w:rPr>
          <w:rStyle w:val="14"/>
          <w:sz w:val="28"/>
          <w:szCs w:val="28"/>
          <w:lang/>
        </w:rPr>
        <w:fldChar w:fldCharType="separate"/>
      </w:r>
      <w:r>
        <w:rPr>
          <w:rStyle w:val="14"/>
          <w:sz w:val="28"/>
          <w:szCs w:val="28"/>
          <w:lang/>
        </w:rPr>
        <w:t>十四、国有资本经营预算财政拨款支出决算表</w:t>
      </w:r>
      <w:r>
        <w:rPr>
          <w:rStyle w:val="14"/>
          <w:lang/>
        </w:rPr>
        <w:tab/>
      </w:r>
      <w:r>
        <w:rPr>
          <w:rStyle w:val="14"/>
          <w:lang/>
        </w:rPr>
        <w:fldChar w:fldCharType="begin"/>
      </w:r>
      <w:r>
        <w:rPr>
          <w:rStyle w:val="14"/>
          <w:lang/>
        </w:rPr>
        <w:instrText xml:space="preserve"> PAGEREF _Toc80262668 \h </w:instrText>
      </w:r>
      <w:r>
        <w:rPr>
          <w:rStyle w:val="14"/>
          <w:lang/>
        </w:rPr>
        <w:fldChar w:fldCharType="separate"/>
      </w:r>
      <w:r>
        <w:rPr>
          <w:rStyle w:val="14"/>
          <w:lang/>
        </w:rPr>
        <w:t>- 41 -</w:t>
      </w:r>
      <w:r>
        <w:rPr>
          <w:rStyle w:val="14"/>
          <w:lang/>
        </w:rPr>
        <w:fldChar w:fldCharType="end"/>
      </w:r>
      <w:r>
        <w:rPr>
          <w:rStyle w:val="14"/>
          <w:sz w:val="28"/>
          <w:szCs w:val="28"/>
          <w:lang/>
        </w:rPr>
        <w:fldChar w:fldCharType="end"/>
      </w:r>
    </w:p>
    <w:p>
      <w:pPr>
        <w:spacing w:line="600" w:lineRule="exact"/>
        <w:rPr>
          <w:sz w:val="28"/>
          <w:szCs w:val="28"/>
        </w:rPr>
      </w:pPr>
      <w:r>
        <w:rPr>
          <w:b/>
          <w:bCs/>
          <w:sz w:val="28"/>
          <w:szCs w:val="28"/>
          <w:lang w:val="zh-CN"/>
        </w:rPr>
        <w:fldChar w:fldCharType="end"/>
      </w:r>
    </w:p>
    <w:p/>
    <w:p>
      <w:pPr>
        <w:sectPr>
          <w:pgSz w:w="11906" w:h="16838"/>
          <w:pgMar w:top="1531" w:right="1418" w:bottom="1531" w:left="1418" w:header="851" w:footer="953" w:gutter="0"/>
          <w:pgNumType w:fmt="numberInDash" w:start="1"/>
          <w:cols w:space="720" w:num="1"/>
          <w:docGrid w:type="linesAndChars" w:linePitch="626" w:charSpace="804"/>
        </w:sectPr>
      </w:pPr>
    </w:p>
    <w:p/>
    <w:p>
      <w:pPr>
        <w:pStyle w:val="2"/>
        <w:keepNext w:val="0"/>
        <w:keepLines w:val="0"/>
        <w:overflowPunct w:val="0"/>
        <w:topLinePunct/>
        <w:spacing w:before="0" w:after="0" w:line="620" w:lineRule="exact"/>
        <w:jc w:val="center"/>
        <w:rPr>
          <w:rFonts w:hint="eastAsia" w:ascii="方正小标宋简体" w:hAnsi="黑体" w:eastAsia="方正小标宋简体"/>
          <w:b w:val="0"/>
        </w:rPr>
      </w:pPr>
      <w:bookmarkStart w:id="3" w:name="_Toc80262634"/>
      <w:r>
        <w:rPr>
          <w:rFonts w:hint="eastAsia" w:ascii="方正小标宋简体" w:hAnsi="黑体" w:eastAsia="方正小标宋简体"/>
          <w:b w:val="0"/>
        </w:rPr>
        <w:t>第一部分 部门概况</w:t>
      </w:r>
      <w:bookmarkEnd w:id="3"/>
    </w:p>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4" w:name="_Toc80262635"/>
      <w:r>
        <w:rPr>
          <w:rFonts w:hint="eastAsia" w:ascii="黑体" w:hAnsi="黑体" w:eastAsia="黑体"/>
          <w:b w:val="0"/>
          <w:color w:val="000000"/>
        </w:rPr>
        <w:t>一、基本职能及主要工作</w:t>
      </w:r>
      <w:bookmarkEnd w:id="4"/>
    </w:p>
    <w:p>
      <w:pPr>
        <w:spacing w:line="620" w:lineRule="exact"/>
        <w:ind w:firstLine="646" w:firstLineChars="200"/>
        <w:rPr>
          <w:rFonts w:hint="eastAsia" w:ascii="楷体_GB2312" w:eastAsia="楷体_GB2312"/>
        </w:rPr>
      </w:pPr>
      <w:r>
        <w:rPr>
          <w:rFonts w:hint="eastAsia" w:ascii="楷体_GB2312" w:eastAsia="楷体_GB2312"/>
        </w:rPr>
        <w:t>（一）主要职能。</w:t>
      </w:r>
    </w:p>
    <w:p>
      <w:pPr>
        <w:spacing w:line="620" w:lineRule="exact"/>
        <w:ind w:firstLine="646" w:firstLineChars="200"/>
        <w:rPr>
          <w:rFonts w:hint="eastAsia"/>
        </w:rPr>
      </w:pPr>
      <w:r>
        <w:rPr>
          <w:rFonts w:hint="eastAsia"/>
        </w:rPr>
        <w:t>根据《遂宁市人民政府关于印发〈遂宁市财政投资评审管理暂行办法〉的通知》（遂府函〔2007〕33号）及财政局机关《管理制度汇编》，中心职能职责为：</w:t>
      </w:r>
    </w:p>
    <w:p>
      <w:pPr>
        <w:spacing w:line="620" w:lineRule="exact"/>
        <w:ind w:firstLine="646" w:firstLineChars="200"/>
        <w:rPr>
          <w:rFonts w:hint="eastAsia"/>
        </w:rPr>
      </w:pPr>
      <w:r>
        <w:rPr>
          <w:rFonts w:hint="eastAsia"/>
        </w:rPr>
        <w:t>1．负责本级部门项目支出预算的专业审核工作，按照部门预算编制的要求，提出项目支出预算审核意见；</w:t>
      </w:r>
    </w:p>
    <w:p>
      <w:pPr>
        <w:spacing w:line="620" w:lineRule="exact"/>
        <w:ind w:firstLine="646" w:firstLineChars="200"/>
        <w:rPr>
          <w:rFonts w:hint="eastAsia"/>
        </w:rPr>
      </w:pPr>
      <w:r>
        <w:rPr>
          <w:rFonts w:hint="eastAsia"/>
        </w:rPr>
        <w:t>2．负责本级重大基本建设项目财政监管和资金拨付的专业审核工作，审查工程变更，提出项目资金拨付审核意见；</w:t>
      </w:r>
    </w:p>
    <w:p>
      <w:pPr>
        <w:spacing w:line="620" w:lineRule="exact"/>
        <w:ind w:firstLine="646" w:firstLineChars="200"/>
        <w:rPr>
          <w:rFonts w:hint="eastAsia"/>
        </w:rPr>
      </w:pPr>
      <w:r>
        <w:rPr>
          <w:rFonts w:hint="eastAsia"/>
        </w:rPr>
        <w:t>3．负责本级基本建设项目竣工决算的专业审核工作，提出交付使用资产价值意见；</w:t>
      </w:r>
    </w:p>
    <w:p>
      <w:pPr>
        <w:spacing w:line="620" w:lineRule="exact"/>
        <w:ind w:firstLine="646" w:firstLineChars="200"/>
        <w:rPr>
          <w:rFonts w:hint="eastAsia"/>
        </w:rPr>
      </w:pPr>
      <w:r>
        <w:rPr>
          <w:rFonts w:hint="eastAsia"/>
        </w:rPr>
        <w:t>4．负责本级财政支出预算绩效考评的专业评价工作，提出预算执行绩效意见；</w:t>
      </w:r>
    </w:p>
    <w:p>
      <w:pPr>
        <w:spacing w:line="620" w:lineRule="exact"/>
        <w:ind w:firstLine="646" w:firstLineChars="200"/>
        <w:rPr>
          <w:rFonts w:hint="eastAsia"/>
        </w:rPr>
      </w:pPr>
      <w:r>
        <w:rPr>
          <w:rFonts w:hint="eastAsia"/>
        </w:rPr>
        <w:t>5．配合本级财政部门做好资金专项核查及追踪问效工作等。</w:t>
      </w:r>
    </w:p>
    <w:p>
      <w:pPr>
        <w:spacing w:line="620" w:lineRule="exact"/>
        <w:ind w:firstLine="646" w:firstLineChars="200"/>
        <w:rPr>
          <w:rFonts w:eastAsia="楷体_GB2312"/>
        </w:rPr>
      </w:pPr>
      <w:r>
        <w:rPr>
          <w:rFonts w:eastAsia="楷体_GB2312"/>
        </w:rPr>
        <w:t>（二）2020年重点工作完成情况。</w:t>
      </w:r>
    </w:p>
    <w:p>
      <w:pPr>
        <w:spacing w:line="620" w:lineRule="exact"/>
        <w:ind w:firstLine="646" w:firstLineChars="200"/>
        <w:rPr>
          <w:rFonts w:hint="eastAsia"/>
        </w:rPr>
      </w:pPr>
      <w:r>
        <w:rPr>
          <w:rFonts w:hint="eastAsia"/>
        </w:rPr>
        <w:t>中心大力推行“阳光评审”“廉政评审”，始终秉承“不唯减、不唯增、只唯实”的工作理念，严格遵循客观公正的工作原则，力求用数据和事实说话，不断提高服务质量和效率。经过不懈努力，财政投资评审的公信力、权威性得到了领导和项目单位的广泛认同，评审理念逐步深入人心。在受疫情影响一季度送审项目低于往年平均水平的情况下，全年评审数量和规模依然达到了326个（比上年下降9.19%）、59.15亿元（比上年增长21.81%）。</w:t>
      </w:r>
    </w:p>
    <w:p>
      <w:pPr>
        <w:spacing w:line="620" w:lineRule="exact"/>
        <w:ind w:firstLine="646" w:firstLineChars="200"/>
        <w:rPr>
          <w:rFonts w:hint="eastAsia"/>
        </w:rPr>
      </w:pPr>
      <w:r>
        <w:rPr>
          <w:rFonts w:hint="eastAsia"/>
          <w:b/>
        </w:rPr>
        <w:t>1.</w:t>
      </w:r>
      <w:r>
        <w:rPr>
          <w:b/>
        </w:rPr>
        <w:t xml:space="preserve"> </w:t>
      </w:r>
      <w:r>
        <w:rPr>
          <w:rFonts w:hint="eastAsia"/>
          <w:b/>
        </w:rPr>
        <w:t>预算评审：</w:t>
      </w:r>
      <w:r>
        <w:rPr>
          <w:rFonts w:hint="eastAsia"/>
        </w:rPr>
        <w:t>全年评审预算（含招标控制价）项目314个，送审预算571431.42万元，审定预算控制价501101.44万元，审减金额70329.98万元，平均审减率12.31%。</w:t>
      </w:r>
    </w:p>
    <w:p>
      <w:pPr>
        <w:spacing w:line="620" w:lineRule="exact"/>
        <w:ind w:firstLine="646" w:firstLineChars="200"/>
        <w:rPr>
          <w:rFonts w:hint="eastAsia"/>
        </w:rPr>
      </w:pPr>
      <w:r>
        <w:rPr>
          <w:rFonts w:hint="eastAsia"/>
          <w:b/>
        </w:rPr>
        <w:t>2.</w:t>
      </w:r>
      <w:r>
        <w:rPr>
          <w:b/>
        </w:rPr>
        <w:t xml:space="preserve"> </w:t>
      </w:r>
      <w:r>
        <w:rPr>
          <w:rFonts w:hint="eastAsia"/>
          <w:b/>
        </w:rPr>
        <w:t>竣工财务决算评审：</w:t>
      </w:r>
      <w:r>
        <w:rPr>
          <w:rFonts w:hint="eastAsia"/>
        </w:rPr>
        <w:t>全年评审竣工财务决算项目9个，送审金额11988.65万元，审定金额11875.87万元，审减金额112.78万元，平均审减率0.94%。</w:t>
      </w:r>
    </w:p>
    <w:p>
      <w:pPr>
        <w:spacing w:line="620" w:lineRule="exact"/>
        <w:ind w:firstLine="646" w:firstLineChars="200"/>
        <w:rPr>
          <w:rFonts w:hint="eastAsia"/>
        </w:rPr>
      </w:pPr>
      <w:r>
        <w:rPr>
          <w:rFonts w:hint="eastAsia"/>
          <w:b/>
        </w:rPr>
        <w:t>3.</w:t>
      </w:r>
      <w:r>
        <w:rPr>
          <w:b/>
        </w:rPr>
        <w:t xml:space="preserve"> </w:t>
      </w:r>
      <w:r>
        <w:rPr>
          <w:rFonts w:hint="eastAsia"/>
          <w:b/>
        </w:rPr>
        <w:t>事前绩效评估：</w:t>
      </w:r>
      <w:r>
        <w:rPr>
          <w:rFonts w:hint="eastAsia"/>
        </w:rPr>
        <w:t>按照职责分工，积极配合财政监督和绩效管理科抓好2020年度预算项目的事前绩效评估工作。一是协助筛选确定2020年事前绩效评估项目6个；二是负责组织实施“2020年度解决部分退役士兵社会保险问题缴费补助”等3个项目评估工作，送审金额8100万元，审定金额6699.36万元，审减1400.64万元，平均审减率17.29%。为项目预算的合理编制提出了科学的建议。</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5" w:name="_Toc80262636"/>
      <w:r>
        <w:rPr>
          <w:rFonts w:hint="eastAsia" w:ascii="黑体" w:hAnsi="黑体" w:eastAsia="黑体"/>
          <w:b w:val="0"/>
          <w:color w:val="000000"/>
        </w:rPr>
        <w:t>二、机构设置</w:t>
      </w:r>
      <w:bookmarkEnd w:id="5"/>
    </w:p>
    <w:p>
      <w:pPr>
        <w:spacing w:line="620" w:lineRule="exact"/>
        <w:ind w:firstLine="646" w:firstLineChars="200"/>
        <w:rPr>
          <w:rFonts w:hint="eastAsia"/>
        </w:rPr>
      </w:pPr>
      <w:r>
        <w:rPr>
          <w:rFonts w:hint="eastAsia"/>
        </w:rPr>
        <w:t>遂宁市财政投资评审中心成立于2002年，单位性质为自收自支事业单位，核定人员编制3名。随着评审业务的不断增长，2008年核增人员编制2名，配备科级领导干部1名；2019年10月更名为遂宁市政府投资评审中心，单位性质改为财政全额拨款事业单位，核定人员编制7名，配备正、副科领导干部各1名。</w:t>
      </w:r>
    </w:p>
    <w:p>
      <w:pPr>
        <w:spacing w:line="620" w:lineRule="exact"/>
        <w:ind w:firstLine="646" w:firstLineChars="200"/>
        <w:rPr>
          <w:rFonts w:hint="eastAsia"/>
        </w:rPr>
      </w:pPr>
      <w:r>
        <w:rPr>
          <w:rFonts w:hint="eastAsia"/>
        </w:rPr>
        <w:t>目前，中心现有工作人员11人，其中在职在编3人、聘用人员8人。中心下设项目部（人员配置7人，其中工程类专业技术人员5人、财务类专业技术人员2人）、稽核部（人员配置2人，含交叉配置1人）、办公室（人员配置2人）三个部门，分别负责项目评审、复核和日常办公运作等事务。2020年无变动情况。</w:t>
      </w:r>
    </w:p>
    <w:p>
      <w:pPr>
        <w:spacing w:line="620" w:lineRule="exact"/>
        <w:ind w:firstLine="646" w:firstLineChars="200"/>
      </w:pPr>
    </w:p>
    <w:p>
      <w:pPr>
        <w:spacing w:line="620" w:lineRule="exact"/>
        <w:ind w:firstLine="646" w:firstLineChars="200"/>
      </w:pPr>
      <w:r>
        <w:br w:type="page"/>
      </w:r>
    </w:p>
    <w:p>
      <w:pPr>
        <w:pStyle w:val="2"/>
        <w:keepNext w:val="0"/>
        <w:keepLines w:val="0"/>
        <w:overflowPunct w:val="0"/>
        <w:topLinePunct/>
        <w:spacing w:before="0" w:after="0" w:line="620" w:lineRule="exact"/>
        <w:jc w:val="center"/>
        <w:rPr>
          <w:rFonts w:hint="eastAsia" w:ascii="方正小标宋简体" w:hAnsi="黑体" w:eastAsia="方正小标宋简体"/>
          <w:b w:val="0"/>
        </w:rPr>
      </w:pPr>
      <w:bookmarkStart w:id="6" w:name="_Toc80262637"/>
      <w:r>
        <w:rPr>
          <w:rFonts w:hint="eastAsia" w:ascii="方正小标宋简体" w:hAnsi="黑体" w:eastAsia="方正小标宋简体"/>
          <w:b w:val="0"/>
        </w:rPr>
        <w:t>第二部分 2020年度部门决算情况说明</w:t>
      </w:r>
      <w:bookmarkEnd w:id="6"/>
    </w:p>
    <w:p>
      <w:pPr>
        <w:spacing w:line="620" w:lineRule="exact"/>
        <w:ind w:firstLine="646" w:firstLineChars="200"/>
      </w:pP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7" w:name="_Toc80262638"/>
      <w:r>
        <w:rPr>
          <w:rFonts w:hint="eastAsia" w:ascii="黑体" w:hAnsi="黑体" w:eastAsia="黑体"/>
          <w:b w:val="0"/>
          <w:color w:val="000000"/>
        </w:rPr>
        <w:t>一、收入支出决算总体情况说明</w:t>
      </w:r>
      <w:bookmarkEnd w:id="7"/>
    </w:p>
    <w:p>
      <w:pPr>
        <w:spacing w:line="620" w:lineRule="exact"/>
        <w:ind w:firstLine="646" w:firstLineChars="200"/>
      </w:pPr>
      <w:r>
        <w:rPr>
          <w:bCs/>
          <w:color w:val="000000"/>
        </w:rPr>
        <w:pict>
          <v:shape id="Object 2" o:spid="_x0000_s1026" o:spt="75" type="#_x0000_t75" style="position:absolute;left:0pt;margin-left:42.7pt;margin-top:104pt;height:216.3pt;width:369.05pt;mso-wrap-distance-bottom:0pt;mso-wrap-distance-top:0pt;z-index:251659264;mso-width-relative:page;mso-height-relative:page;" o:ole="t" filled="f" o:preferrelative="t" stroked="f" coordsize="21600,21600">
            <v:path/>
            <v:fill on="f" focussize="0,0"/>
            <v:stroke on="f"/>
            <v:imagedata r:id="rId7" o:title=""/>
            <o:lock v:ext="edit" aspectratio="t"/>
            <w10:wrap type="topAndBottom"/>
          </v:shape>
          <o:OLEObject Type="Embed" ProgID="Excel.Chart" ShapeID="Object 2" DrawAspect="Content" ObjectID="_1468075725" r:id="rId6">
            <o:LockedField>false</o:LockedField>
          </o:OLEObject>
        </w:pict>
      </w:r>
      <w:r>
        <w:rPr>
          <w:bCs/>
          <w:color w:val="000000"/>
        </w:rPr>
        <w:t>2020</w:t>
      </w:r>
      <w:r>
        <w:rPr>
          <w:rFonts w:hint="eastAsia"/>
          <w:bCs/>
          <w:color w:val="000000"/>
        </w:rPr>
        <w:t>年度收、支总计</w:t>
      </w:r>
      <w:r>
        <w:rPr>
          <w:rFonts w:hint="eastAsia"/>
          <w:bCs/>
          <w:color w:val="000000"/>
          <w:lang w:val="en-US" w:eastAsia="zh-CN"/>
        </w:rPr>
        <w:t>4</w:t>
      </w:r>
      <w:r>
        <w:rPr>
          <w:rFonts w:hint="eastAsia"/>
          <w:bCs/>
          <w:color w:val="000000"/>
          <w:lang w:val="en-US" w:eastAsia="zh-CN"/>
        </w:rPr>
        <w:t>49.99</w:t>
      </w:r>
      <w:r>
        <w:rPr>
          <w:rFonts w:hint="eastAsia"/>
          <w:bCs/>
          <w:color w:val="000000"/>
        </w:rPr>
        <w:t>万元。</w:t>
      </w:r>
      <w:r>
        <w:rPr>
          <w:rFonts w:hint="eastAsia"/>
        </w:rPr>
        <w:t>2019年相比，收、支总计各增加83.8</w:t>
      </w:r>
      <w:r>
        <w:rPr>
          <w:rFonts w:hint="eastAsia"/>
          <w:lang w:val="en-US" w:eastAsia="zh-CN"/>
        </w:rPr>
        <w:t>8</w:t>
      </w:r>
      <w:r>
        <w:rPr>
          <w:rFonts w:hint="eastAsia"/>
        </w:rPr>
        <w:t>万元，增长</w:t>
      </w:r>
      <w:r>
        <w:rPr>
          <w:rFonts w:hint="eastAsia"/>
          <w:lang w:val="en-US" w:eastAsia="zh-CN"/>
        </w:rPr>
        <w:t>22.91</w:t>
      </w:r>
      <w:r>
        <w:rPr>
          <w:rFonts w:hint="eastAsia"/>
        </w:rPr>
        <w:t>%。主要变动原因是人员增加,工资福利支出增加。</w:t>
      </w:r>
    </w:p>
    <w:p>
      <w:pPr>
        <w:spacing w:line="600" w:lineRule="exact"/>
        <w:jc w:val="center"/>
      </w:pPr>
      <w:r>
        <w:rPr>
          <w:rFonts w:hint="eastAsia"/>
        </w:rPr>
        <w:t>（图1：收、支决算总计变动情况图）（柱状图）</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8" w:name="_Toc80262639"/>
      <w:r>
        <w:rPr>
          <w:rFonts w:hint="eastAsia" w:ascii="黑体" w:hAnsi="黑体" w:eastAsia="黑体"/>
          <w:b w:val="0"/>
          <w:color w:val="000000"/>
        </w:rPr>
        <w:t>二、收入决算情况说明</w:t>
      </w:r>
      <w:bookmarkEnd w:id="8"/>
    </w:p>
    <w:p>
      <w:pPr>
        <w:spacing w:line="620" w:lineRule="exact"/>
        <w:ind w:firstLine="646" w:firstLineChars="200"/>
        <w:rPr>
          <w:rFonts w:hint="eastAsia"/>
        </w:rPr>
      </w:pPr>
      <w:r>
        <w:rPr>
          <w:rFonts w:hint="eastAsia"/>
        </w:rPr>
        <w:t>2020年本年收入合计449.96万元，其中：一般公共预算财政拨款收入449.96万元，占100%；政府性基金预算财政拨款收入0万元，占0%；上级补助收入0万元，占0%；事业收入0万元，占0%；经营收入0万元，占0%；附属单位上缴收入0万元，占0%；其他收入0万元，占0%。</w:t>
      </w:r>
    </w:p>
    <w:p>
      <w:pPr>
        <w:spacing w:line="600" w:lineRule="exact"/>
        <w:jc w:val="center"/>
      </w:pPr>
      <w:r>
        <w:pict>
          <v:shape id="Object 3" o:spid="_x0000_s1027" o:spt="75" type="#_x0000_t75" style="position:absolute;left:0pt;margin-left:55.5pt;margin-top:3.4pt;height:140.85pt;width:331.6pt;mso-wrap-distance-bottom:0pt;mso-wrap-distance-top:0pt;z-index:251660288;mso-width-relative:page;mso-height-relative:page;" o:ole="t" filled="f" o:preferrelative="t" stroked="f" coordsize="21600,21600">
            <v:path/>
            <v:fill on="f" focussize="0,0"/>
            <v:stroke on="f"/>
            <v:imagedata r:id="rId9" o:title=""/>
            <o:lock v:ext="edit" aspectratio="t"/>
            <w10:wrap type="topAndBottom"/>
          </v:shape>
          <o:OLEObject Type="Embed" ProgID="Excel.Chart" ShapeID="Object 3" DrawAspect="Content" ObjectID="_1468075726" r:id="rId8">
            <o:LockedField>false</o:LockedField>
          </o:OLEObject>
        </w:pict>
      </w:r>
      <w:r>
        <w:rPr>
          <w:rFonts w:hint="eastAsia"/>
        </w:rPr>
        <w:t>（图2：收入决算结构图）（饼状图）</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9" w:name="_Toc80262640"/>
      <w:r>
        <w:rPr>
          <w:rFonts w:hint="eastAsia" w:ascii="黑体" w:hAnsi="黑体" w:eastAsia="黑体"/>
          <w:b w:val="0"/>
          <w:color w:val="000000"/>
        </w:rPr>
        <w:t>三、支出决算情况说明</w:t>
      </w:r>
      <w:bookmarkEnd w:id="9"/>
    </w:p>
    <w:p>
      <w:pPr>
        <w:spacing w:line="620" w:lineRule="exact"/>
        <w:ind w:firstLine="646" w:firstLineChars="200"/>
      </w:pPr>
      <w:r>
        <w:rPr>
          <w:color w:val="000000"/>
        </w:rPr>
        <w:pict>
          <v:shape id="Object 4" o:spid="_x0000_s1028" o:spt="75" type="#_x0000_t75" style="position:absolute;left:0pt;margin-left:44.95pt;margin-top:129.35pt;height:131.15pt;width:365.4pt;mso-wrap-distance-bottom:0pt;mso-wrap-distance-top:0pt;z-index:251661312;mso-width-relative:page;mso-height-relative:page;" o:ole="t" filled="f" o:preferrelative="t" stroked="f" coordsize="21600,21600">
            <v:path/>
            <v:fill on="f" focussize="0,0"/>
            <v:stroke on="f"/>
            <v:imagedata r:id="rId11" o:title=""/>
            <o:lock v:ext="edit" aspectratio="t"/>
            <w10:wrap type="topAndBottom"/>
          </v:shape>
          <o:OLEObject Type="Embed" ProgID="Excel.Chart" ShapeID="Object 4" DrawAspect="Content" ObjectID="_1468075727" r:id="rId10">
            <o:LockedField>false</o:LockedField>
          </o:OLEObject>
        </w:pict>
      </w:r>
      <w:r>
        <w:rPr>
          <w:rFonts w:hint="eastAsia"/>
        </w:rPr>
        <w:t>2020年本年支出合计</w:t>
      </w:r>
      <w:r>
        <w:rPr>
          <w:rFonts w:hint="eastAsia"/>
          <w:lang w:val="en-US" w:eastAsia="zh-CN"/>
        </w:rPr>
        <w:t>449.99</w:t>
      </w:r>
      <w:r>
        <w:rPr>
          <w:rFonts w:hint="eastAsia"/>
        </w:rPr>
        <w:t>万元，其中：基本支出61.91万元，占13.76%；项目支出388.09万元，占86.24%；上缴上级支出0万元，占0%；经营支出0万元，占0%；对附属单位补助支出0万元，占0%。</w:t>
      </w:r>
    </w:p>
    <w:p>
      <w:pPr>
        <w:spacing w:line="600" w:lineRule="exact"/>
        <w:jc w:val="center"/>
      </w:pPr>
      <w:r>
        <w:rPr>
          <w:rFonts w:hint="eastAsia"/>
        </w:rPr>
        <w:t>（图</w:t>
      </w:r>
      <w:r>
        <w:t>3</w:t>
      </w:r>
      <w:r>
        <w:rPr>
          <w:rFonts w:hint="eastAsia"/>
        </w:rPr>
        <w:t>：支出决算结构图）（饼状图）</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10" w:name="_Toc80262641"/>
      <w:r>
        <w:rPr>
          <w:rFonts w:hint="eastAsia" w:ascii="黑体" w:hAnsi="黑体" w:eastAsia="黑体"/>
          <w:b w:val="0"/>
          <w:color w:val="000000"/>
        </w:rPr>
        <w:t>四、财政拨款收入支出决算总体情况说明</w:t>
      </w:r>
      <w:bookmarkEnd w:id="10"/>
    </w:p>
    <w:p>
      <w:pPr>
        <w:overflowPunct w:val="0"/>
        <w:topLinePunct/>
        <w:spacing w:line="620" w:lineRule="exact"/>
        <w:ind w:firstLine="646" w:firstLineChars="200"/>
      </w:pPr>
      <w:r>
        <w:rPr>
          <w:rFonts w:hint="eastAsia"/>
        </w:rPr>
        <w:t>2020年财政拨款收、支总计</w:t>
      </w:r>
      <w:r>
        <w:rPr>
          <w:rFonts w:hint="eastAsia"/>
          <w:lang w:val="en-US" w:eastAsia="zh-CN"/>
        </w:rPr>
        <w:t>449.96</w:t>
      </w:r>
      <w:r>
        <w:rPr>
          <w:rFonts w:hint="eastAsia"/>
        </w:rPr>
        <w:t>万元。与2019年相比，财政拨款收、支总计各增加84.0</w:t>
      </w:r>
      <w:r>
        <w:rPr>
          <w:rFonts w:hint="eastAsia"/>
          <w:lang w:val="en-US" w:eastAsia="zh-CN"/>
        </w:rPr>
        <w:t>3</w:t>
      </w:r>
      <w:r>
        <w:rPr>
          <w:rFonts w:hint="eastAsia"/>
        </w:rPr>
        <w:t>万元，增长22.96%。主要变动原因是人员增加，工资福利支出增加。</w:t>
      </w:r>
    </w:p>
    <w:p>
      <w:pPr>
        <w:overflowPunct w:val="0"/>
        <w:topLinePunct/>
        <w:spacing w:line="620" w:lineRule="exact"/>
        <w:ind w:firstLine="646" w:firstLineChars="200"/>
      </w:pPr>
      <w:r>
        <w:rPr>
          <w:rFonts w:hint="eastAsia"/>
        </w:rPr>
        <w:t>（注：除国有资本经营预算外，数据来源于财决Z01-1表，口径为“总计”数+国有资本经营预算。）</w:t>
      </w:r>
    </w:p>
    <w:p>
      <w:pPr>
        <w:overflowPunct w:val="0"/>
        <w:topLinePunct/>
        <w:spacing w:line="620" w:lineRule="exact"/>
        <w:ind w:firstLine="646" w:firstLineChars="200"/>
      </w:pPr>
      <w:r>
        <w:pict>
          <v:shape id="Object 5" o:spid="_x0000_s1029" o:spt="75" type="#_x0000_t75" style="position:absolute;left:0pt;margin-left:60.95pt;margin-top:17.65pt;height:148.2pt;width:331.35pt;mso-wrap-distance-bottom:0pt;mso-wrap-distance-top:0pt;z-index:251662336;mso-width-relative:page;mso-height-relative:page;" o:ole="t" filled="f" o:preferrelative="t" stroked="f" coordsize="21600,21600">
            <v:path/>
            <v:fill on="f" focussize="0,0"/>
            <v:stroke on="f"/>
            <v:imagedata r:id="rId13" o:title=""/>
            <o:lock v:ext="edit" aspectratio="t"/>
            <w10:wrap type="topAndBottom"/>
          </v:shape>
          <o:OLEObject Type="Embed" ProgID="Excel.Chart" ShapeID="Object 5" DrawAspect="Content" ObjectID="_1468075728" r:id="rId12">
            <o:LockedField>false</o:LockedField>
          </o:OLEObject>
        </w:pict>
      </w:r>
      <w:r>
        <w:rPr>
          <w:rFonts w:hint="eastAsia"/>
        </w:rPr>
        <w:t>（图</w:t>
      </w:r>
      <w:r>
        <w:t>4</w:t>
      </w:r>
      <w:r>
        <w:rPr>
          <w:rFonts w:hint="eastAsia"/>
        </w:rPr>
        <w:t>：财政拨款收、支决算总计变动情况）（柱状图）</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11" w:name="_Toc80262642"/>
      <w:r>
        <w:rPr>
          <w:rFonts w:hint="eastAsia" w:ascii="黑体" w:hAnsi="黑体" w:eastAsia="黑体"/>
          <w:b w:val="0"/>
          <w:color w:val="000000"/>
        </w:rPr>
        <w:t>五、一般公共预算财政拨款支出决算情况说明</w:t>
      </w:r>
      <w:bookmarkEnd w:id="11"/>
    </w:p>
    <w:p>
      <w:pPr>
        <w:spacing w:line="620" w:lineRule="exact"/>
        <w:ind w:firstLine="646" w:firstLineChars="200"/>
        <w:rPr>
          <w:rFonts w:hint="eastAsia" w:ascii="楷体_GB2312" w:eastAsia="楷体_GB2312"/>
        </w:rPr>
      </w:pPr>
      <w:r>
        <w:rPr>
          <w:rFonts w:hint="eastAsia" w:ascii="楷体_GB2312" w:eastAsia="楷体_GB2312"/>
        </w:rPr>
        <w:t>（一）一般公共预算财政拨款支出决算总体情况</w:t>
      </w:r>
    </w:p>
    <w:p>
      <w:pPr>
        <w:spacing w:line="620" w:lineRule="exact"/>
        <w:ind w:firstLine="646" w:firstLineChars="200"/>
      </w:pPr>
      <w:r>
        <w:rPr>
          <w:lang/>
        </w:rPr>
        <w:pict>
          <v:shape id="对象 10" o:spid="_x0000_s1031" o:spt="75" type="#_x0000_t75" style="position:absolute;left:0pt;margin-left:53.1pt;margin-top:129.35pt;height:142.85pt;width:331.35pt;mso-wrap-distance-bottom:0pt;mso-wrap-distance-top:0pt;z-index:251663360;mso-width-relative:page;mso-height-relative:page;" o:ole="t" filled="f" o:preferrelative="t" stroked="f" coordsize="21600,21600">
            <v:path/>
            <v:fill on="f" focussize="0,0"/>
            <v:stroke on="f"/>
            <v:imagedata r:id="rId15" o:title=""/>
            <o:lock v:ext="edit" aspectratio="t"/>
            <w10:wrap type="topAndBottom"/>
          </v:shape>
          <o:OLEObject Type="Embed" ProgID="Excel.Chart" ShapeID="对象 10" DrawAspect="Content" ObjectID="_1468075729" r:id="rId14">
            <o:LockedField>false</o:LockedField>
          </o:OLEObject>
        </w:pict>
      </w:r>
      <w:r>
        <w:rPr>
          <w:rFonts w:hint="eastAsia"/>
        </w:rPr>
        <w:t>2020年一般公共预算财政拨款支出449.96万元，占本年支出合计的99.99%。与2019年相比，一般公共预算财政拨款增加84.03万元，增长22.967%。主要变动原因是人员增加，工资福利支出增加。</w:t>
      </w:r>
    </w:p>
    <w:p>
      <w:pPr>
        <w:spacing w:line="600" w:lineRule="exact"/>
        <w:jc w:val="center"/>
      </w:pPr>
      <w:r>
        <w:rPr>
          <w:rFonts w:hint="eastAsia"/>
        </w:rPr>
        <w:t>（图5：一般公共预算财政拨款支出决算变动情况）（柱状图）</w:t>
      </w:r>
    </w:p>
    <w:p>
      <w:pPr>
        <w:spacing w:line="620" w:lineRule="exact"/>
        <w:ind w:firstLine="646" w:firstLineChars="200"/>
        <w:rPr>
          <w:rFonts w:hint="eastAsia" w:ascii="楷体_GB2312" w:eastAsia="楷体_GB2312"/>
        </w:rPr>
      </w:pPr>
      <w:r>
        <w:rPr>
          <w:rFonts w:hint="eastAsia" w:ascii="楷体_GB2312" w:eastAsia="楷体_GB2312"/>
        </w:rPr>
        <w:t>（二）一般公共预算财政拨款支出决算结构情况</w:t>
      </w:r>
    </w:p>
    <w:p>
      <w:pPr>
        <w:spacing w:line="620" w:lineRule="exact"/>
        <w:ind w:firstLine="646" w:firstLineChars="200"/>
      </w:pPr>
      <w:r>
        <w:rPr>
          <w:rFonts w:hint="eastAsia"/>
        </w:rPr>
        <w:t>2020年一般公共预算财政拨款支出449.96万元，主要用于以下方面:一般公共服务（类）支出434.11万元，占96.48%；社会保障和就业（类）支出5.79万元，占1.29%；卫生健康支出3.18万元，占0.71%；住房保障支出6.88万元，占1.53%。（罗列全部功能分类科目，至类级。）</w:t>
      </w:r>
    </w:p>
    <w:p>
      <w:pPr>
        <w:spacing w:line="620" w:lineRule="exact"/>
        <w:ind w:firstLine="646" w:firstLineChars="200"/>
      </w:pPr>
      <w:r>
        <w:rPr>
          <w:lang/>
        </w:rPr>
        <w:pict>
          <v:shape id="对象 11" o:spid="_x0000_s1032" o:spt="75" type="#_x0000_t75" style="position:absolute;left:0pt;margin-left:48.35pt;margin-top:11.15pt;height:140.1pt;width:349.6pt;mso-wrap-distance-bottom:0pt;mso-wrap-distance-left:9pt;mso-wrap-distance-right:9pt;mso-wrap-distance-top:0pt;z-index:251664384;mso-width-relative:page;mso-height-relative:page;" o:ole="t" filled="f" o:preferrelative="t" stroked="f" coordsize="21600,21600">
            <v:path/>
            <v:fill on="f" focussize="0,0"/>
            <v:stroke on="f"/>
            <v:imagedata r:id="rId17" o:title=""/>
            <o:lock v:ext="edit" aspectratio="t"/>
            <w10:wrap type="square"/>
          </v:shape>
          <o:OLEObject Type="Embed" ProgID="Excel.Chart" ShapeID="对象 11" DrawAspect="Content" ObjectID="_1468075730" r:id="rId16">
            <o:LockedField>false</o:LockedField>
          </o:OLEObject>
        </w:pict>
      </w:r>
    </w:p>
    <w:p>
      <w:pPr>
        <w:spacing w:line="620" w:lineRule="exact"/>
        <w:ind w:firstLine="646" w:firstLineChars="200"/>
      </w:pPr>
    </w:p>
    <w:p>
      <w:pPr>
        <w:spacing w:line="620" w:lineRule="exact"/>
        <w:ind w:firstLine="646" w:firstLineChars="200"/>
      </w:pPr>
    </w:p>
    <w:p>
      <w:pPr>
        <w:spacing w:line="620" w:lineRule="exact"/>
        <w:ind w:firstLine="646" w:firstLineChars="200"/>
      </w:pPr>
    </w:p>
    <w:p>
      <w:pPr>
        <w:spacing w:line="620" w:lineRule="exact"/>
        <w:ind w:firstLine="646" w:firstLineChars="200"/>
        <w:rPr>
          <w:rFonts w:hint="eastAsia"/>
        </w:rPr>
      </w:pPr>
    </w:p>
    <w:p>
      <w:pPr>
        <w:spacing w:line="600" w:lineRule="exact"/>
        <w:jc w:val="center"/>
      </w:pPr>
      <w:r>
        <w:rPr>
          <w:rFonts w:hint="eastAsia"/>
        </w:rPr>
        <w:t>（图6：一般公共预算财政拨款支出决算结构）（饼状图）</w:t>
      </w:r>
    </w:p>
    <w:p>
      <w:pPr>
        <w:spacing w:line="620" w:lineRule="exact"/>
        <w:ind w:firstLine="646" w:firstLineChars="200"/>
        <w:rPr>
          <w:rFonts w:hint="eastAsia" w:ascii="楷体_GB2312" w:eastAsia="楷体_GB2312"/>
        </w:rPr>
      </w:pPr>
      <w:r>
        <w:rPr>
          <w:rFonts w:hint="eastAsia" w:ascii="楷体_GB2312" w:eastAsia="楷体_GB2312"/>
        </w:rPr>
        <w:t>（三）一般公共预算财政拨款支出决算具体情况</w:t>
      </w:r>
    </w:p>
    <w:p>
      <w:pPr>
        <w:spacing w:line="620" w:lineRule="exact"/>
        <w:ind w:firstLine="646" w:firstLineChars="200"/>
        <w:rPr>
          <w:rFonts w:hint="eastAsia"/>
        </w:rPr>
      </w:pPr>
      <w:r>
        <w:rPr>
          <w:rFonts w:hint="eastAsia"/>
        </w:rPr>
        <w:t>2020年一般公共预算支出决算数为449.96万元，完成预算100%。其中：</w:t>
      </w:r>
    </w:p>
    <w:p>
      <w:pPr>
        <w:spacing w:line="620" w:lineRule="exact"/>
        <w:ind w:firstLine="646" w:firstLineChars="200"/>
        <w:rPr>
          <w:rFonts w:hint="eastAsia"/>
        </w:rPr>
      </w:pPr>
      <w:r>
        <w:rPr>
          <w:rFonts w:hint="eastAsia"/>
          <w:b/>
        </w:rPr>
        <w:t>1.</w:t>
      </w:r>
      <w:r>
        <w:rPr>
          <w:b/>
        </w:rPr>
        <w:t xml:space="preserve"> </w:t>
      </w:r>
      <w:r>
        <w:rPr>
          <w:rFonts w:hint="eastAsia"/>
          <w:b/>
        </w:rPr>
        <w:t xml:space="preserve">一般公共服务（类）财政事务（款）事业运行（项）: </w:t>
      </w:r>
      <w:r>
        <w:rPr>
          <w:rFonts w:hint="eastAsia"/>
        </w:rPr>
        <w:t>支出决算为46.02万元，完成预算100%，决算数与预算数持平。</w:t>
      </w:r>
    </w:p>
    <w:p>
      <w:pPr>
        <w:spacing w:line="620" w:lineRule="exact"/>
        <w:ind w:firstLine="646" w:firstLineChars="200"/>
        <w:rPr>
          <w:rFonts w:hint="eastAsia"/>
        </w:rPr>
      </w:pPr>
      <w:r>
        <w:rPr>
          <w:rFonts w:hint="eastAsia"/>
          <w:b/>
        </w:rPr>
        <w:t>2.</w:t>
      </w:r>
      <w:r>
        <w:rPr>
          <w:b/>
        </w:rPr>
        <w:t xml:space="preserve"> </w:t>
      </w:r>
      <w:r>
        <w:rPr>
          <w:rFonts w:hint="eastAsia"/>
          <w:b/>
        </w:rPr>
        <w:t xml:space="preserve">一般公共服务（类）财政事务（款）其他财政事务支出（项）: </w:t>
      </w:r>
      <w:r>
        <w:rPr>
          <w:rFonts w:hint="eastAsia"/>
        </w:rPr>
        <w:t>支出决算为388.09万元，完成预算100%，决算数与预算数持平。</w:t>
      </w:r>
    </w:p>
    <w:p>
      <w:pPr>
        <w:spacing w:line="620" w:lineRule="exact"/>
        <w:ind w:firstLine="646" w:firstLineChars="200"/>
        <w:rPr>
          <w:rFonts w:hint="eastAsia"/>
        </w:rPr>
      </w:pPr>
      <w:r>
        <w:rPr>
          <w:rFonts w:hint="eastAsia"/>
          <w:b/>
        </w:rPr>
        <w:t>3.</w:t>
      </w:r>
      <w:r>
        <w:rPr>
          <w:b/>
        </w:rPr>
        <w:t xml:space="preserve"> </w:t>
      </w:r>
      <w:r>
        <w:rPr>
          <w:rFonts w:hint="eastAsia"/>
          <w:b/>
        </w:rPr>
        <w:t xml:space="preserve">社会保障和就业（类）政事业单位养老支出（款）事业单位离退休（项）: </w:t>
      </w:r>
      <w:r>
        <w:rPr>
          <w:rFonts w:hint="eastAsia"/>
        </w:rPr>
        <w:t>支出决算为0.27万元，完成预算100%，决算数与预算数持平。</w:t>
      </w:r>
    </w:p>
    <w:p>
      <w:pPr>
        <w:spacing w:line="620" w:lineRule="exact"/>
        <w:ind w:firstLine="646" w:firstLineChars="200"/>
        <w:rPr>
          <w:rFonts w:hint="eastAsia"/>
        </w:rPr>
      </w:pPr>
      <w:r>
        <w:rPr>
          <w:rFonts w:hint="eastAsia"/>
          <w:b/>
        </w:rPr>
        <w:t>4.</w:t>
      </w:r>
      <w:r>
        <w:rPr>
          <w:b/>
        </w:rPr>
        <w:t xml:space="preserve"> </w:t>
      </w:r>
      <w:r>
        <w:rPr>
          <w:rFonts w:hint="eastAsia"/>
          <w:b/>
        </w:rPr>
        <w:t xml:space="preserve">社会保障和就业（类）政事业单位养老支出（款）机关事业单位基本养老保险缴费支出（项）: </w:t>
      </w:r>
      <w:r>
        <w:rPr>
          <w:rFonts w:hint="eastAsia"/>
        </w:rPr>
        <w:t>支出决算为5.52万元，完成预算100%，决算数与预算数持平。</w:t>
      </w:r>
    </w:p>
    <w:p>
      <w:pPr>
        <w:spacing w:line="620" w:lineRule="exact"/>
        <w:ind w:firstLine="646" w:firstLineChars="200"/>
        <w:rPr>
          <w:rFonts w:hint="eastAsia"/>
        </w:rPr>
      </w:pPr>
      <w:r>
        <w:rPr>
          <w:rFonts w:hint="eastAsia"/>
          <w:b/>
        </w:rPr>
        <w:t>5.</w:t>
      </w:r>
      <w:r>
        <w:rPr>
          <w:b/>
        </w:rPr>
        <w:t xml:space="preserve"> </w:t>
      </w:r>
      <w:r>
        <w:rPr>
          <w:rFonts w:hint="eastAsia"/>
          <w:b/>
        </w:rPr>
        <w:t>卫生健康（类）行政事业单位医疗（款）事业单位医疗（项）:</w:t>
      </w:r>
      <w:r>
        <w:rPr>
          <w:rFonts w:hint="eastAsia"/>
        </w:rPr>
        <w:t>支出决算为3.18万元，完成预算100%，决算数与预算数持平。</w:t>
      </w:r>
    </w:p>
    <w:p>
      <w:pPr>
        <w:spacing w:line="620" w:lineRule="exact"/>
        <w:ind w:firstLine="646" w:firstLineChars="200"/>
        <w:rPr>
          <w:rFonts w:hint="eastAsia"/>
        </w:rPr>
      </w:pPr>
      <w:r>
        <w:rPr>
          <w:rFonts w:hint="eastAsia"/>
          <w:b/>
        </w:rPr>
        <w:t>6.</w:t>
      </w:r>
      <w:r>
        <w:rPr>
          <w:b/>
        </w:rPr>
        <w:t xml:space="preserve"> </w:t>
      </w:r>
      <w:r>
        <w:rPr>
          <w:rFonts w:hint="eastAsia"/>
          <w:b/>
        </w:rPr>
        <w:t>住房保障支出（类）住房改革支出（款）住房公积金（项）:</w:t>
      </w:r>
      <w:r>
        <w:rPr>
          <w:rFonts w:hint="eastAsia"/>
        </w:rPr>
        <w:t>支出决算为6.88万元，完成预算100%，决算数与预算数持平。</w:t>
      </w:r>
    </w:p>
    <w:p>
      <w:pPr>
        <w:spacing w:line="620" w:lineRule="exact"/>
        <w:ind w:firstLine="646" w:firstLineChars="200"/>
        <w:rPr>
          <w:rFonts w:hint="eastAsia"/>
        </w:rPr>
      </w:pPr>
      <w:r>
        <w:rPr>
          <w:rFonts w:hint="eastAsia"/>
        </w:rPr>
        <w:t>（注：数据来源于财决Z01-1表，罗列全部功能分类科目至项级。上述“预算”口径为调整预算数。增减变动原因为决算数&lt;项级&gt;和调整预算数&lt;项级&gt;比较，与预算数持平可以不写原因。）</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12" w:name="_Toc80262643"/>
      <w:r>
        <w:rPr>
          <w:rFonts w:hint="eastAsia" w:ascii="黑体" w:hAnsi="黑体" w:eastAsia="黑体"/>
          <w:b w:val="0"/>
          <w:color w:val="000000"/>
        </w:rPr>
        <w:t>六、一般公共预算财政拨款基本支出决算情况说明</w:t>
      </w:r>
      <w:bookmarkEnd w:id="12"/>
      <w:r>
        <w:rPr>
          <w:rFonts w:hint="eastAsia" w:ascii="黑体" w:hAnsi="黑体" w:eastAsia="黑体"/>
          <w:b w:val="0"/>
          <w:color w:val="000000"/>
        </w:rPr>
        <w:tab/>
      </w:r>
    </w:p>
    <w:p>
      <w:pPr>
        <w:spacing w:line="620" w:lineRule="exact"/>
        <w:ind w:firstLine="646" w:firstLineChars="200"/>
        <w:rPr>
          <w:rFonts w:hint="eastAsia"/>
        </w:rPr>
      </w:pPr>
      <w:r>
        <w:rPr>
          <w:rFonts w:hint="eastAsia"/>
        </w:rPr>
        <w:t>2020年一般公共预算财政拨款基本支出61.87万元，其中：</w:t>
      </w:r>
    </w:p>
    <w:p>
      <w:pPr>
        <w:spacing w:line="620" w:lineRule="exact"/>
        <w:ind w:firstLine="646" w:firstLineChars="200"/>
        <w:rPr>
          <w:rFonts w:hint="eastAsia"/>
        </w:rPr>
      </w:pPr>
      <w:r>
        <w:rPr>
          <w:rFonts w:hint="eastAsia"/>
        </w:rPr>
        <w:t>人员经费52.31万元，主要包括：基本工资、津贴补贴、绩效工资、机关事业单位基本养老保险缴费、职工基本医疗保险缴费、其他社会保障缴费、住房公积金、其他工资福利支出等。</w:t>
      </w:r>
    </w:p>
    <w:p>
      <w:pPr>
        <w:spacing w:line="620" w:lineRule="exact"/>
        <w:ind w:firstLine="646" w:firstLineChars="200"/>
        <w:rPr>
          <w:rFonts w:hint="eastAsia"/>
        </w:rPr>
      </w:pPr>
      <w:r>
        <w:rPr>
          <w:rFonts w:hint="eastAsia"/>
        </w:rPr>
        <w:t>日常公用经费9.12万元，主要包括：办公费、印刷费、手续费、水费、电费、邮电费、物业管理费、差旅费、维修（护）费、公务接待费、劳务费、委托业务费、工会经费、福利费、其他交通费、其他商品和服务支出。</w:t>
      </w:r>
    </w:p>
    <w:p>
      <w:pPr>
        <w:spacing w:line="620" w:lineRule="exact"/>
        <w:ind w:firstLine="646" w:firstLineChars="200"/>
        <w:rPr>
          <w:rFonts w:hint="eastAsia"/>
        </w:rPr>
      </w:pPr>
      <w:r>
        <w:rPr>
          <w:rFonts w:hint="eastAsia"/>
        </w:rPr>
        <w:t>（注：数据来源于财决07表，根据本部门实际支出情况罗列全部经济分类科目。）</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13" w:name="_Toc80262644"/>
      <w:r>
        <w:rPr>
          <w:rFonts w:hint="eastAsia" w:ascii="黑体" w:hAnsi="黑体" w:eastAsia="黑体"/>
          <w:b w:val="0"/>
          <w:color w:val="000000"/>
        </w:rPr>
        <w:t>七、“三公”经费财政拨款支出决算情况说明</w:t>
      </w:r>
      <w:bookmarkEnd w:id="13"/>
    </w:p>
    <w:p>
      <w:pPr>
        <w:spacing w:line="620" w:lineRule="exact"/>
        <w:ind w:firstLine="646" w:firstLineChars="200"/>
        <w:rPr>
          <w:rFonts w:hint="eastAsia" w:ascii="楷体_GB2312" w:eastAsia="楷体_GB2312"/>
        </w:rPr>
      </w:pPr>
      <w:r>
        <w:rPr>
          <w:rFonts w:hint="eastAsia" w:ascii="楷体_GB2312" w:eastAsia="楷体_GB2312"/>
        </w:rPr>
        <w:t>（一）“三公”经费财政拨款支出决算总体情况说明</w:t>
      </w:r>
    </w:p>
    <w:p>
      <w:pPr>
        <w:spacing w:line="620" w:lineRule="exact"/>
        <w:ind w:firstLine="646" w:firstLineChars="200"/>
        <w:rPr>
          <w:rFonts w:hint="eastAsia"/>
        </w:rPr>
      </w:pPr>
      <w:r>
        <w:rPr>
          <w:rFonts w:hint="eastAsia"/>
        </w:rPr>
        <w:t>2020年“三公”经费财政拨款支出决算为0.11万元，完成预算100%，决算数与预算数持平。</w:t>
      </w:r>
    </w:p>
    <w:p>
      <w:pPr>
        <w:spacing w:line="620" w:lineRule="exact"/>
        <w:ind w:firstLine="646" w:firstLineChars="200"/>
        <w:rPr>
          <w:rFonts w:hint="eastAsia"/>
        </w:rPr>
      </w:pPr>
      <w:r>
        <w:rPr>
          <w:rFonts w:hint="eastAsia"/>
        </w:rPr>
        <w:t>（注：上述“预算”口径为调整预算数，包括政府性基金支出决算情况。）</w:t>
      </w:r>
    </w:p>
    <w:p>
      <w:pPr>
        <w:spacing w:line="620" w:lineRule="exact"/>
        <w:ind w:firstLine="646" w:firstLineChars="200"/>
        <w:rPr>
          <w:rFonts w:hint="eastAsia" w:ascii="楷体_GB2312" w:eastAsia="楷体_GB2312"/>
        </w:rPr>
      </w:pPr>
      <w:r>
        <w:rPr>
          <w:rFonts w:hint="eastAsia" w:ascii="楷体_GB2312" w:eastAsia="楷体_GB2312"/>
        </w:rPr>
        <w:t>（二）“三公”经费财政拨款支出决算具体情况说明</w:t>
      </w:r>
    </w:p>
    <w:p>
      <w:pPr>
        <w:spacing w:line="620" w:lineRule="exact"/>
        <w:ind w:firstLine="646" w:firstLineChars="200"/>
      </w:pPr>
      <w:r>
        <w:rPr>
          <w:rFonts w:hint="eastAsia"/>
        </w:rPr>
        <w:t>2020年“三公”经费财政拨款支出决算中，因公出国（境）费支出决算0万元，占0%；公务用车购置及运行维护费支出决算0万元，占0%；公务接待费支出决算0.11万元，占100%。具体情况如下：</w:t>
      </w:r>
    </w:p>
    <w:p>
      <w:pPr>
        <w:spacing w:line="620" w:lineRule="exact"/>
        <w:ind w:firstLine="646" w:firstLineChars="200"/>
      </w:pPr>
      <w:r>
        <w:rPr>
          <w:lang/>
        </w:rPr>
        <w:pict>
          <v:shape id="Object 8" o:spid="_x0000_s1033" o:spt="75" type="#_x0000_t75" style="position:absolute;left:0pt;margin-left:38.4pt;margin-top:10.9pt;height:128.35pt;width:377.95pt;mso-wrap-distance-bottom:0pt;mso-wrap-distance-left:9pt;mso-wrap-distance-right:9pt;mso-wrap-distance-top:0pt;z-index:251665408;mso-width-relative:page;mso-height-relative:page;" o:ole="t" filled="f" o:preferrelative="t" stroked="f" coordsize="21600,21600">
            <v:path/>
            <v:fill on="f" focussize="0,0"/>
            <v:stroke on="f"/>
            <v:imagedata r:id="rId19" o:title=""/>
            <o:lock v:ext="edit" aspectratio="t"/>
            <w10:wrap type="square"/>
          </v:shape>
          <o:OLEObject Type="Embed" ProgID="Excel.Chart" ShapeID="Object 8" DrawAspect="Content" ObjectID="_1468075731" r:id="rId18">
            <o:LockedField>false</o:LockedField>
          </o:OLEObject>
        </w:pict>
      </w:r>
    </w:p>
    <w:p>
      <w:pPr>
        <w:spacing w:line="620" w:lineRule="exact"/>
        <w:ind w:firstLine="646" w:firstLineChars="200"/>
      </w:pPr>
    </w:p>
    <w:p>
      <w:pPr>
        <w:spacing w:line="620" w:lineRule="exact"/>
        <w:ind w:firstLine="646" w:firstLineChars="200"/>
      </w:pPr>
    </w:p>
    <w:p>
      <w:pPr>
        <w:spacing w:line="620" w:lineRule="exact"/>
        <w:ind w:firstLine="646" w:firstLineChars="200"/>
        <w:rPr>
          <w:rFonts w:hint="eastAsia"/>
        </w:rPr>
      </w:pPr>
    </w:p>
    <w:p>
      <w:pPr>
        <w:spacing w:line="620" w:lineRule="exact"/>
        <w:ind w:firstLine="646" w:firstLineChars="200"/>
      </w:pPr>
      <w:r>
        <w:rPr>
          <w:rFonts w:hint="eastAsia"/>
        </w:rPr>
        <w:t>（图7：“三公”经费财政拨款支出结构）（饼状图）</w:t>
      </w:r>
    </w:p>
    <w:p>
      <w:pPr>
        <w:spacing w:line="620" w:lineRule="exact"/>
        <w:ind w:firstLine="646" w:firstLineChars="200"/>
        <w:rPr>
          <w:rFonts w:hint="eastAsia"/>
          <w:b/>
        </w:rPr>
      </w:pPr>
      <w:r>
        <w:rPr>
          <w:rFonts w:hint="eastAsia"/>
          <w:b/>
        </w:rPr>
        <w:t>1.</w:t>
      </w:r>
      <w:r>
        <w:rPr>
          <w:b/>
        </w:rPr>
        <w:t xml:space="preserve"> </w:t>
      </w:r>
      <w:r>
        <w:rPr>
          <w:rFonts w:hint="eastAsia"/>
          <w:b/>
        </w:rPr>
        <w:t>因公出国（境）经费支出。</w:t>
      </w:r>
    </w:p>
    <w:p>
      <w:pPr>
        <w:spacing w:line="620" w:lineRule="exact"/>
        <w:ind w:firstLine="646" w:firstLineChars="200"/>
        <w:rPr>
          <w:rFonts w:hint="eastAsia"/>
        </w:rPr>
      </w:pPr>
      <w:r>
        <w:rPr>
          <w:rFonts w:hint="eastAsia"/>
        </w:rPr>
        <w:t>2020年未发生因公出国（境）经费支出。</w:t>
      </w:r>
    </w:p>
    <w:p>
      <w:pPr>
        <w:spacing w:line="620" w:lineRule="exact"/>
        <w:ind w:firstLine="646" w:firstLineChars="200"/>
        <w:rPr>
          <w:rFonts w:hint="eastAsia"/>
          <w:b/>
        </w:rPr>
      </w:pPr>
      <w:r>
        <w:rPr>
          <w:rFonts w:hint="eastAsia"/>
          <w:b/>
        </w:rPr>
        <w:t>2.</w:t>
      </w:r>
      <w:r>
        <w:rPr>
          <w:b/>
        </w:rPr>
        <w:t xml:space="preserve"> </w:t>
      </w:r>
      <w:r>
        <w:rPr>
          <w:rFonts w:hint="eastAsia"/>
          <w:b/>
        </w:rPr>
        <w:t>公务用车购置及运行维护费支出。</w:t>
      </w:r>
    </w:p>
    <w:p>
      <w:pPr>
        <w:spacing w:line="620" w:lineRule="exact"/>
        <w:ind w:firstLine="646" w:firstLineChars="200"/>
        <w:rPr>
          <w:rFonts w:hint="eastAsia"/>
        </w:rPr>
      </w:pPr>
      <w:r>
        <w:rPr>
          <w:rFonts w:hint="eastAsia"/>
        </w:rPr>
        <w:t>2020年未发生公务用车购置及运行维护费支出。</w:t>
      </w:r>
    </w:p>
    <w:p>
      <w:pPr>
        <w:spacing w:line="620" w:lineRule="exact"/>
        <w:ind w:firstLine="646" w:firstLineChars="200"/>
        <w:rPr>
          <w:rFonts w:hint="eastAsia"/>
          <w:b/>
        </w:rPr>
      </w:pPr>
      <w:r>
        <w:rPr>
          <w:rFonts w:hint="eastAsia"/>
          <w:b/>
        </w:rPr>
        <w:t>3.</w:t>
      </w:r>
      <w:r>
        <w:rPr>
          <w:b/>
        </w:rPr>
        <w:t xml:space="preserve"> </w:t>
      </w:r>
      <w:r>
        <w:rPr>
          <w:rFonts w:hint="eastAsia"/>
          <w:b/>
        </w:rPr>
        <w:t>公务接待费支出0.11万元，完成预算18.33%。公务接待费支出决算比2019年增加0.11万元，增长0%。</w:t>
      </w:r>
    </w:p>
    <w:p>
      <w:pPr>
        <w:spacing w:line="620" w:lineRule="exact"/>
        <w:ind w:firstLine="646" w:firstLineChars="200"/>
        <w:rPr>
          <w:rFonts w:hint="eastAsia"/>
        </w:rPr>
      </w:pPr>
      <w:r>
        <w:rPr>
          <w:rFonts w:hint="eastAsia"/>
        </w:rPr>
        <w:t>国内公务接待支出0.11万元，主要用于接待省评审中心开展政务调研工作。国内公务接待1批次，11人次（不包括陪同人员），共计支出0.11万元，具体内容包括：公务餐共计0.11万元。</w:t>
      </w:r>
    </w:p>
    <w:p>
      <w:pPr>
        <w:spacing w:line="620" w:lineRule="exact"/>
        <w:ind w:firstLine="646" w:firstLineChars="200"/>
        <w:rPr>
          <w:rFonts w:hint="eastAsia"/>
        </w:rPr>
      </w:pPr>
      <w:r>
        <w:rPr>
          <w:rFonts w:hint="eastAsia"/>
        </w:rPr>
        <w:t>外事接待支出：无外事接待支出。</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14" w:name="_Toc80262645"/>
      <w:r>
        <w:rPr>
          <w:rFonts w:hint="eastAsia" w:ascii="黑体" w:hAnsi="黑体" w:eastAsia="黑体"/>
          <w:b w:val="0"/>
          <w:color w:val="000000"/>
        </w:rPr>
        <w:t>八、政府性基金预算支出决算情况说明</w:t>
      </w:r>
      <w:bookmarkEnd w:id="14"/>
    </w:p>
    <w:p>
      <w:pPr>
        <w:spacing w:line="620" w:lineRule="exact"/>
        <w:ind w:firstLine="646" w:firstLineChars="200"/>
        <w:rPr>
          <w:rFonts w:hint="eastAsia"/>
        </w:rPr>
      </w:pPr>
      <w:r>
        <w:rPr>
          <w:rFonts w:hint="eastAsia"/>
        </w:rPr>
        <w:t>2020年政府性基金预算拨款支出0万元。</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15" w:name="_Toc80262646"/>
      <w:r>
        <w:rPr>
          <w:rFonts w:hint="eastAsia" w:ascii="黑体" w:hAnsi="黑体" w:eastAsia="黑体"/>
          <w:b w:val="0"/>
          <w:color w:val="000000"/>
        </w:rPr>
        <w:t>九、国有资本经营预算支出决算情况说明</w:t>
      </w:r>
      <w:bookmarkEnd w:id="15"/>
    </w:p>
    <w:p>
      <w:pPr>
        <w:spacing w:line="620" w:lineRule="exact"/>
        <w:ind w:firstLine="646" w:firstLineChars="200"/>
        <w:rPr>
          <w:rFonts w:hint="eastAsia"/>
        </w:rPr>
      </w:pPr>
      <w:r>
        <w:rPr>
          <w:rFonts w:hint="eastAsia"/>
        </w:rPr>
        <w:t>2020年国有资本经营预算拨款支出0万元。</w:t>
      </w:r>
    </w:p>
    <w:p>
      <w:pPr>
        <w:pStyle w:val="3"/>
        <w:keepNext w:val="0"/>
        <w:keepLines w:val="0"/>
        <w:overflowPunct w:val="0"/>
        <w:topLinePunct/>
        <w:spacing w:before="0" w:after="0" w:line="620" w:lineRule="exact"/>
        <w:ind w:firstLine="646" w:firstLineChars="200"/>
        <w:rPr>
          <w:rFonts w:hint="eastAsia" w:ascii="黑体" w:hAnsi="黑体" w:eastAsia="黑体"/>
          <w:b w:val="0"/>
          <w:color w:val="000000"/>
        </w:rPr>
      </w:pPr>
      <w:bookmarkStart w:id="16" w:name="_Toc80262647"/>
      <w:r>
        <w:rPr>
          <w:rFonts w:hint="eastAsia" w:ascii="黑体" w:hAnsi="黑体" w:eastAsia="黑体"/>
          <w:b w:val="0"/>
          <w:color w:val="000000"/>
        </w:rPr>
        <w:t>十、其他重要事项的情况说明</w:t>
      </w:r>
      <w:bookmarkEnd w:id="16"/>
    </w:p>
    <w:p>
      <w:pPr>
        <w:spacing w:line="620" w:lineRule="exact"/>
        <w:ind w:firstLine="646" w:firstLineChars="200"/>
        <w:rPr>
          <w:rFonts w:hint="eastAsia" w:ascii="楷体_GB2312" w:eastAsia="楷体_GB2312"/>
        </w:rPr>
      </w:pPr>
      <w:r>
        <w:rPr>
          <w:rFonts w:hint="eastAsia" w:ascii="楷体_GB2312" w:eastAsia="楷体_GB2312"/>
        </w:rPr>
        <w:t>（一）机关运行经费支出情况</w:t>
      </w:r>
    </w:p>
    <w:p>
      <w:pPr>
        <w:spacing w:line="620" w:lineRule="exact"/>
        <w:ind w:firstLine="646" w:firstLineChars="200"/>
        <w:rPr>
          <w:rFonts w:hint="eastAsia"/>
        </w:rPr>
      </w:pPr>
      <w:r>
        <w:rPr>
          <w:rFonts w:hint="eastAsia"/>
        </w:rPr>
        <w:t>遂宁市政府投资评审中心属于事业单位无机关运行经费支出情况。</w:t>
      </w:r>
    </w:p>
    <w:p>
      <w:pPr>
        <w:spacing w:line="620" w:lineRule="exact"/>
        <w:ind w:firstLine="646" w:firstLineChars="200"/>
        <w:rPr>
          <w:rFonts w:hint="eastAsia"/>
        </w:rPr>
      </w:pPr>
      <w:r>
        <w:rPr>
          <w:rFonts w:hint="eastAsia"/>
        </w:rPr>
        <w:t>（注：数据来源于财决附03表）</w:t>
      </w:r>
    </w:p>
    <w:p>
      <w:pPr>
        <w:spacing w:line="620" w:lineRule="exact"/>
        <w:ind w:firstLine="646" w:firstLineChars="200"/>
        <w:rPr>
          <w:rFonts w:hint="eastAsia" w:ascii="楷体_GB2312" w:eastAsia="楷体_GB2312"/>
        </w:rPr>
      </w:pPr>
      <w:r>
        <w:rPr>
          <w:rFonts w:hint="eastAsia" w:ascii="楷体_GB2312" w:eastAsia="楷体_GB2312"/>
        </w:rPr>
        <w:t>（二）政府采购支出情况</w:t>
      </w:r>
    </w:p>
    <w:p>
      <w:pPr>
        <w:spacing w:line="620" w:lineRule="exact"/>
        <w:ind w:firstLine="646" w:firstLineChars="200"/>
        <w:rPr>
          <w:rFonts w:hint="eastAsia"/>
        </w:rPr>
      </w:pPr>
      <w:r>
        <w:rPr>
          <w:rFonts w:hint="eastAsia"/>
        </w:rPr>
        <w:t>2020年，遂宁市政府投资评审中心无政府采购支出。</w:t>
      </w:r>
    </w:p>
    <w:p>
      <w:pPr>
        <w:spacing w:line="620" w:lineRule="exact"/>
        <w:ind w:firstLine="646" w:firstLineChars="200"/>
        <w:rPr>
          <w:rFonts w:hint="eastAsia"/>
        </w:rPr>
      </w:pPr>
      <w:r>
        <w:rPr>
          <w:rFonts w:hint="eastAsia"/>
        </w:rPr>
        <w:t>（注：数据来源于财决附03表）</w:t>
      </w:r>
    </w:p>
    <w:p>
      <w:pPr>
        <w:spacing w:line="620" w:lineRule="exact"/>
        <w:ind w:firstLine="646" w:firstLineChars="200"/>
        <w:rPr>
          <w:rFonts w:hint="eastAsia" w:ascii="楷体_GB2312" w:eastAsia="楷体_GB2312"/>
        </w:rPr>
      </w:pPr>
      <w:r>
        <w:rPr>
          <w:rFonts w:hint="eastAsia" w:ascii="楷体_GB2312" w:eastAsia="楷体_GB2312"/>
        </w:rPr>
        <w:t>（三）国有资产占有使用情况</w:t>
      </w:r>
    </w:p>
    <w:p>
      <w:pPr>
        <w:spacing w:line="620" w:lineRule="exact"/>
        <w:ind w:firstLine="646" w:firstLineChars="200"/>
        <w:rPr>
          <w:rFonts w:hint="eastAsia"/>
        </w:rPr>
      </w:pPr>
      <w:r>
        <w:rPr>
          <w:rFonts w:hint="eastAsia"/>
        </w:rPr>
        <w:t>遂宁市政府投资评审中心无车辆配置，单价50万元以上通用设备0台（套），单价100万元以上专用设备0台（套）。</w:t>
      </w:r>
    </w:p>
    <w:p>
      <w:pPr>
        <w:spacing w:line="620" w:lineRule="exact"/>
        <w:ind w:firstLine="646" w:firstLineChars="200"/>
        <w:rPr>
          <w:rFonts w:hint="eastAsia"/>
        </w:rPr>
      </w:pPr>
      <w:r>
        <w:rPr>
          <w:rFonts w:hint="eastAsia"/>
        </w:rPr>
        <w:t>（注：数据来源财决附03表，按部门决算报表填报数据罗列车辆情况。）</w:t>
      </w:r>
    </w:p>
    <w:p>
      <w:pPr>
        <w:spacing w:line="620" w:lineRule="exact"/>
        <w:ind w:firstLine="646" w:firstLineChars="200"/>
        <w:rPr>
          <w:rFonts w:hint="eastAsia" w:ascii="楷体_GB2312" w:eastAsia="楷体_GB2312"/>
        </w:rPr>
      </w:pPr>
      <w:r>
        <w:rPr>
          <w:rFonts w:hint="eastAsia" w:ascii="楷体_GB2312" w:eastAsia="楷体_GB2312"/>
        </w:rPr>
        <w:t>（四）预算绩效管理情况。</w:t>
      </w:r>
    </w:p>
    <w:p>
      <w:pPr>
        <w:spacing w:line="620" w:lineRule="exact"/>
        <w:ind w:firstLine="646" w:firstLineChars="200"/>
        <w:rPr>
          <w:rFonts w:hint="eastAsia"/>
        </w:rPr>
      </w:pPr>
      <w:r>
        <w:rPr>
          <w:rFonts w:hint="eastAsia"/>
        </w:rPr>
        <w:t>根据预算绩效管理要求，本部门在年初预算编制阶段，组织对购买评审辅助服务项目、信息化建设及运维项目、设备购置项目开展了预算事前绩效评估，对3个项目编制了绩效目标，预算执行过程中，选取购买评审辅助服务项目开展绩效监控。年终执行完毕后，对3个项目开展了绩效目标完成情况自评。</w:t>
      </w:r>
    </w:p>
    <w:p>
      <w:pPr>
        <w:spacing w:line="620" w:lineRule="exact"/>
        <w:ind w:firstLine="646" w:firstLineChars="200"/>
        <w:rPr>
          <w:rFonts w:hint="eastAsia"/>
        </w:rPr>
      </w:pPr>
      <w:r>
        <w:rPr>
          <w:rFonts w:hint="eastAsia"/>
        </w:rPr>
        <w:t>本部门按要求对2020年部门整体支出开展绩效自评，从评价情况来看，我中心2020年度预算编制要素完整，绩效目标量化细化，目标任务基本符合实际情况，支出控制严格，预算执行情况良好。本部门还自行组织了3个项目支出绩效评价，从评价情况来看，购买评审辅助服务项目、信息化建设及运维项目目标申报科学合理，资金使用合规，绩效目标完成情况良好；设备购置项目目标申报科学合理，非主观原因项目未实施。</w:t>
      </w:r>
    </w:p>
    <w:p>
      <w:pPr>
        <w:spacing w:line="620" w:lineRule="exact"/>
        <w:ind w:firstLine="646" w:firstLineChars="200"/>
        <w:rPr>
          <w:rFonts w:hint="eastAsia"/>
          <w:b/>
        </w:rPr>
      </w:pPr>
      <w:r>
        <w:rPr>
          <w:rFonts w:hint="eastAsia"/>
          <w:b/>
        </w:rPr>
        <w:t>1.</w:t>
      </w:r>
      <w:r>
        <w:rPr>
          <w:b/>
        </w:rPr>
        <w:t xml:space="preserve"> </w:t>
      </w:r>
      <w:r>
        <w:rPr>
          <w:rFonts w:hint="eastAsia"/>
          <w:b/>
        </w:rPr>
        <w:t>项目绩效目标完成情况。</w:t>
      </w:r>
    </w:p>
    <w:p>
      <w:pPr>
        <w:spacing w:line="620" w:lineRule="exact"/>
        <w:ind w:firstLine="646" w:firstLineChars="200"/>
        <w:rPr>
          <w:rFonts w:hint="eastAsia"/>
        </w:rPr>
      </w:pPr>
      <w:r>
        <w:rPr>
          <w:rFonts w:hint="eastAsia"/>
        </w:rPr>
        <w:t>本部门在2020年度部门决算中反映“购买评审辅助服务”“信息化建设及运维”“设备购置”等3个项目绩效目标实际完成情况。</w:t>
      </w:r>
    </w:p>
    <w:p>
      <w:pPr>
        <w:spacing w:line="620" w:lineRule="exact"/>
        <w:ind w:firstLine="646" w:firstLineChars="200"/>
        <w:rPr>
          <w:rFonts w:hint="eastAsia"/>
        </w:rPr>
      </w:pPr>
      <w:r>
        <w:rPr>
          <w:rFonts w:hint="eastAsia"/>
        </w:rPr>
        <w:t>（1）购买评审辅助服务项目绩效目标完成情况综述。项目全年预算数416.54万元，执行数为385.09万元，完成预算的92.45%。通过项目实施，节省财政预、决算投资7.44亿元，在支持地方经济建设、促进城市环境提升、提高政府预决算管理能力等方面发挥了重要作用。发现的主要问题：委托评审目标任务5个，实际完成4个，完成率80%。下一步改进措施：无。</w:t>
      </w:r>
    </w:p>
    <w:p>
      <w:pPr>
        <w:spacing w:line="620" w:lineRule="exact"/>
        <w:ind w:firstLine="646" w:firstLineChars="200"/>
        <w:rPr>
          <w:rFonts w:hint="eastAsia"/>
        </w:rPr>
      </w:pPr>
      <w:r>
        <w:rPr>
          <w:rFonts w:hint="eastAsia"/>
        </w:rPr>
        <w:t>（2）信息化建设及运维项目绩效目标完成情况综述。项目全年预算数3.00万元，执行数为3.00万元，完成预算的100%。通过项目实施，保障部门劳动工具正常运转，使财政评审工作得以顺利开展。发现的主要问题：无。下一步改进措施：无。</w:t>
      </w:r>
    </w:p>
    <w:p>
      <w:pPr>
        <w:spacing w:line="620" w:lineRule="exact"/>
        <w:ind w:firstLine="646" w:firstLineChars="200"/>
      </w:pPr>
      <w:r>
        <w:rPr>
          <w:rFonts w:hint="eastAsia"/>
        </w:rPr>
        <w:t>（3）设备购置项目绩效目标完成情况综述。项目全年预算数4.00万元，执行数为0.00万元，完成预算的0.00%。申报目标为更换办公用电脑，因政府强制要求使用安可电脑不满足工程计量计价财政评审技术需求，未实施。发现的主要问题：安可电脑不满足工程计量计价财政评审技术需求。下一步改进措施：建议允许我中心配置与工程计量、造价审核相适应的工作用电脑工具，确保评审工作任务完成和工作质量提高。</w:t>
      </w:r>
    </w:p>
    <w:p>
      <w:pPr>
        <w:spacing w:line="620" w:lineRule="exact"/>
        <w:jc w:val="center"/>
        <w:rPr>
          <w:rFonts w:ascii="黑体" w:hAnsi="黑体" w:eastAsia="黑体"/>
        </w:rPr>
      </w:pPr>
      <w:r>
        <w:rPr>
          <w:rFonts w:hint="eastAsia" w:ascii="黑体" w:hAnsi="黑体" w:eastAsia="黑体"/>
        </w:rPr>
        <w:t>项目绩效目标完成情况表</w:t>
      </w:r>
    </w:p>
    <w:p>
      <w:pPr>
        <w:spacing w:line="620" w:lineRule="exact"/>
        <w:jc w:val="center"/>
        <w:rPr>
          <w:rFonts w:hint="eastAsia"/>
        </w:rPr>
      </w:pPr>
      <w:r>
        <w:rPr>
          <w:rFonts w:hint="eastAsia"/>
        </w:rPr>
        <w:t>（</w:t>
      </w:r>
      <w:r>
        <w:t>2020</w:t>
      </w:r>
      <w:r>
        <w:rPr>
          <w:rFonts w:hint="eastAsia"/>
        </w:rPr>
        <w:t>年度）</w:t>
      </w:r>
    </w:p>
    <w:tbl>
      <w:tblPr>
        <w:tblStyle w:val="10"/>
        <w:tblpPr w:leftFromText="180" w:rightFromText="180" w:vertAnchor="text" w:horzAnchor="page" w:tblpXSpec="center" w:tblpY="178"/>
        <w:tblOverlap w:val="never"/>
        <w:tblW w:w="9800" w:type="dxa"/>
        <w:jc w:val="center"/>
        <w:tblLayout w:type="fixed"/>
        <w:tblCellMar>
          <w:top w:w="0" w:type="dxa"/>
          <w:left w:w="0" w:type="dxa"/>
          <w:bottom w:w="0" w:type="dxa"/>
          <w:right w:w="0" w:type="dxa"/>
        </w:tblCellMar>
      </w:tblPr>
      <w:tblGrid>
        <w:gridCol w:w="865"/>
        <w:gridCol w:w="1133"/>
        <w:gridCol w:w="1148"/>
        <w:gridCol w:w="1454"/>
        <w:gridCol w:w="2644"/>
        <w:gridCol w:w="2556"/>
      </w:tblGrid>
      <w:tr>
        <w:trPr>
          <w:wBefore w:w="0" w:type="dxa"/>
          <w:trHeight w:val="276" w:hRule="atLeast"/>
          <w:jc w:val="center"/>
        </w:trPr>
        <w:tc>
          <w:tcPr>
            <w:tcW w:w="31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项目名称</w:t>
            </w:r>
          </w:p>
        </w:tc>
        <w:tc>
          <w:tcPr>
            <w:tcW w:w="66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购买评审辅助服务项目</w:t>
            </w:r>
          </w:p>
        </w:tc>
      </w:tr>
      <w:tr>
        <w:trPr>
          <w:wBefore w:w="0" w:type="dxa"/>
          <w:trHeight w:val="276" w:hRule="atLeast"/>
          <w:jc w:val="center"/>
        </w:trPr>
        <w:tc>
          <w:tcPr>
            <w:tcW w:w="31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预算单位</w:t>
            </w:r>
          </w:p>
        </w:tc>
        <w:tc>
          <w:tcPr>
            <w:tcW w:w="66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遂宁市政府投资评审中心</w:t>
            </w:r>
          </w:p>
        </w:tc>
      </w:tr>
      <w:tr>
        <w:trPr>
          <w:wBefore w:w="0" w:type="dxa"/>
          <w:trHeight w:val="276"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预算执行情况</w:t>
            </w:r>
            <w:r>
              <w:rPr>
                <w:rFonts w:ascii="宋体" w:hAnsi="宋体" w:eastAsia="宋体" w:cs="宋体"/>
                <w:color w:val="000000"/>
                <w:kern w:val="0"/>
                <w:sz w:val="22"/>
                <w:lang w:bidi="ar"/>
              </w:rPr>
              <w:t>(</w:t>
            </w:r>
            <w:r>
              <w:rPr>
                <w:rFonts w:hint="eastAsia" w:ascii="宋体" w:hAnsi="宋体" w:eastAsia="宋体" w:cs="宋体"/>
                <w:color w:val="000000"/>
                <w:kern w:val="0"/>
                <w:sz w:val="22"/>
                <w:lang w:bidi="ar"/>
              </w:rPr>
              <w:t>万元</w:t>
            </w:r>
            <w:r>
              <w:rPr>
                <w:rFonts w:ascii="宋体" w:hAnsi="宋体" w:eastAsia="宋体" w:cs="宋体"/>
                <w:color w:val="000000"/>
                <w:kern w:val="0"/>
                <w:sz w:val="22"/>
                <w:lang w:bidi="ar"/>
              </w:rPr>
              <w:t>)</w:t>
            </w:r>
          </w:p>
        </w:tc>
        <w:tc>
          <w:tcPr>
            <w:tcW w:w="22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r>
              <w:rPr>
                <w:rFonts w:ascii="宋体" w:hAnsi="宋体" w:eastAsia="宋体" w:cs="宋体"/>
                <w:color w:val="000000"/>
                <w:kern w:val="0"/>
                <w:sz w:val="22"/>
                <w:lang w:bidi="ar"/>
              </w:rPr>
              <w:t>:</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416.54</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执行数</w:t>
            </w:r>
            <w:r>
              <w:rPr>
                <w:rFonts w:ascii="宋体" w:hAnsi="宋体" w:eastAsia="宋体" w:cs="宋体"/>
                <w:color w:val="000000"/>
                <w:kern w:val="0"/>
                <w:sz w:val="22"/>
                <w:lang w:bidi="ar"/>
              </w:rPr>
              <w:t>:</w:t>
            </w:r>
          </w:p>
        </w:tc>
        <w:tc>
          <w:tcPr>
            <w:tcW w:w="2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385.09</w:t>
            </w:r>
          </w:p>
        </w:tc>
      </w:tr>
      <w:tr>
        <w:trPr>
          <w:wBefore w:w="0" w:type="dxa"/>
          <w:trHeight w:val="276"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ascii="宋体" w:hAnsi="宋体" w:eastAsia="宋体" w:cs="宋体"/>
                <w:color w:val="000000"/>
                <w:sz w:val="22"/>
              </w:rPr>
            </w:pPr>
          </w:p>
        </w:tc>
        <w:tc>
          <w:tcPr>
            <w:tcW w:w="22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其中</w:t>
            </w:r>
            <w:r>
              <w:rPr>
                <w:rFonts w:ascii="宋体" w:hAnsi="宋体" w:eastAsia="宋体" w:cs="宋体"/>
                <w:color w:val="000000"/>
                <w:kern w:val="0"/>
                <w:sz w:val="22"/>
                <w:lang w:bidi="ar"/>
              </w:rPr>
              <w:t>-</w:t>
            </w:r>
            <w:r>
              <w:rPr>
                <w:rFonts w:hint="eastAsia" w:ascii="宋体" w:hAnsi="宋体" w:eastAsia="宋体" w:cs="宋体"/>
                <w:color w:val="000000"/>
                <w:kern w:val="0"/>
                <w:sz w:val="22"/>
                <w:lang w:bidi="ar"/>
              </w:rPr>
              <w:t>财政拨款</w:t>
            </w:r>
            <w:r>
              <w:rPr>
                <w:rFonts w:ascii="宋体" w:hAnsi="宋体" w:eastAsia="宋体" w:cs="宋体"/>
                <w:color w:val="000000"/>
                <w:kern w:val="0"/>
                <w:sz w:val="22"/>
                <w:lang w:bidi="ar"/>
              </w:rPr>
              <w:t>:</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416.54</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其中</w:t>
            </w:r>
            <w:r>
              <w:rPr>
                <w:rFonts w:ascii="宋体" w:hAnsi="宋体" w:eastAsia="宋体" w:cs="宋体"/>
                <w:color w:val="000000"/>
                <w:kern w:val="0"/>
                <w:sz w:val="22"/>
                <w:lang w:bidi="ar"/>
              </w:rPr>
              <w:t>-</w:t>
            </w:r>
            <w:r>
              <w:rPr>
                <w:rFonts w:hint="eastAsia" w:ascii="宋体" w:hAnsi="宋体" w:eastAsia="宋体" w:cs="宋体"/>
                <w:color w:val="000000"/>
                <w:kern w:val="0"/>
                <w:sz w:val="22"/>
                <w:lang w:bidi="ar"/>
              </w:rPr>
              <w:t>财政拨款</w:t>
            </w:r>
            <w:r>
              <w:rPr>
                <w:rFonts w:ascii="宋体" w:hAnsi="宋体" w:eastAsia="宋体" w:cs="宋体"/>
                <w:color w:val="000000"/>
                <w:kern w:val="0"/>
                <w:sz w:val="22"/>
                <w:lang w:bidi="ar"/>
              </w:rPr>
              <w:t>:</w:t>
            </w:r>
          </w:p>
        </w:tc>
        <w:tc>
          <w:tcPr>
            <w:tcW w:w="2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385.09</w:t>
            </w:r>
          </w:p>
        </w:tc>
      </w:tr>
      <w:tr>
        <w:trPr>
          <w:wBefore w:w="0" w:type="dxa"/>
          <w:trHeight w:val="343"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ascii="宋体" w:hAnsi="宋体" w:eastAsia="宋体" w:cs="宋体"/>
                <w:color w:val="000000"/>
                <w:sz w:val="22"/>
              </w:rPr>
            </w:pPr>
          </w:p>
        </w:tc>
        <w:tc>
          <w:tcPr>
            <w:tcW w:w="22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其它资金</w:t>
            </w:r>
            <w:r>
              <w:rPr>
                <w:rFonts w:ascii="宋体" w:hAnsi="宋体" w:eastAsia="宋体" w:cs="宋体"/>
                <w:color w:val="000000"/>
                <w:kern w:val="0"/>
                <w:sz w:val="22"/>
                <w:lang w:bidi="ar"/>
              </w:rPr>
              <w:t>:</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其它资金</w:t>
            </w:r>
            <w:r>
              <w:rPr>
                <w:rFonts w:ascii="宋体" w:hAnsi="宋体" w:eastAsia="宋体" w:cs="宋体"/>
                <w:color w:val="000000"/>
                <w:kern w:val="0"/>
                <w:sz w:val="22"/>
                <w:lang w:bidi="ar"/>
              </w:rPr>
              <w:t>:</w:t>
            </w:r>
          </w:p>
        </w:tc>
        <w:tc>
          <w:tcPr>
            <w:tcW w:w="2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ascii="宋体" w:hAnsi="宋体" w:eastAsia="宋体" w:cs="宋体"/>
                <w:color w:val="000000"/>
                <w:sz w:val="22"/>
              </w:rPr>
            </w:pPr>
          </w:p>
        </w:tc>
      </w:tr>
      <w:tr>
        <w:trPr>
          <w:wBefore w:w="0" w:type="dxa"/>
          <w:trHeight w:val="276"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年度目标完成情况</w:t>
            </w:r>
          </w:p>
        </w:tc>
        <w:tc>
          <w:tcPr>
            <w:tcW w:w="37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预期目标</w:t>
            </w:r>
          </w:p>
        </w:tc>
        <w:tc>
          <w:tcPr>
            <w:tcW w:w="51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实际完成目标</w:t>
            </w:r>
          </w:p>
        </w:tc>
      </w:tr>
      <w:tr>
        <w:trPr>
          <w:wBefore w:w="0" w:type="dxa"/>
          <w:trHeight w:val="382"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ascii="宋体" w:hAnsi="宋体" w:eastAsia="宋体" w:cs="宋体"/>
                <w:color w:val="000000"/>
                <w:sz w:val="22"/>
              </w:rPr>
            </w:pPr>
          </w:p>
        </w:tc>
        <w:tc>
          <w:tcPr>
            <w:tcW w:w="37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评审项目300个，平均审减率10%。</w:t>
            </w:r>
          </w:p>
        </w:tc>
        <w:tc>
          <w:tcPr>
            <w:tcW w:w="51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评审项目339个，平均审减率11.32%。</w:t>
            </w:r>
          </w:p>
        </w:tc>
      </w:tr>
      <w:tr>
        <w:trPr>
          <w:wBefore w:w="0" w:type="dxa"/>
          <w:trHeight w:val="548" w:hRule="atLeast"/>
          <w:jc w:val="center"/>
        </w:trPr>
        <w:tc>
          <w:tcPr>
            <w:tcW w:w="86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绩效指标完成情况</w:t>
            </w: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一级指标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二级指标</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三级指标</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预期指标值</w:t>
            </w:r>
            <w:r>
              <w:rPr>
                <w:rFonts w:ascii="宋体" w:hAnsi="宋体" w:eastAsia="宋体" w:cs="宋体"/>
                <w:color w:val="000000"/>
                <w:kern w:val="0"/>
                <w:sz w:val="22"/>
                <w:lang w:bidi="ar"/>
              </w:rPr>
              <w:t>(</w:t>
            </w:r>
            <w:r>
              <w:rPr>
                <w:rFonts w:hint="eastAsia" w:ascii="宋体" w:hAnsi="宋体" w:eastAsia="宋体" w:cs="宋体"/>
                <w:color w:val="000000"/>
                <w:kern w:val="0"/>
                <w:sz w:val="22"/>
                <w:lang w:bidi="ar"/>
              </w:rPr>
              <w:t>包含数字及文字描述</w:t>
            </w:r>
            <w:r>
              <w:rPr>
                <w:rFonts w:ascii="宋体" w:hAnsi="宋体" w:eastAsia="宋体" w:cs="宋体"/>
                <w:color w:val="000000"/>
                <w:kern w:val="0"/>
                <w:sz w:val="22"/>
                <w:lang w:bidi="ar"/>
              </w:rPr>
              <w:t>)</w:t>
            </w:r>
          </w:p>
        </w:tc>
        <w:tc>
          <w:tcPr>
            <w:tcW w:w="2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实际完成指标值</w:t>
            </w:r>
            <w:r>
              <w:rPr>
                <w:rFonts w:ascii="宋体" w:hAnsi="宋体" w:eastAsia="宋体" w:cs="宋体"/>
                <w:color w:val="000000"/>
                <w:kern w:val="0"/>
                <w:sz w:val="22"/>
                <w:lang w:bidi="ar"/>
              </w:rPr>
              <w:t>(</w:t>
            </w:r>
            <w:r>
              <w:rPr>
                <w:rFonts w:hint="eastAsia" w:ascii="宋体" w:hAnsi="宋体" w:eastAsia="宋体" w:cs="宋体"/>
                <w:color w:val="000000"/>
                <w:kern w:val="0"/>
                <w:sz w:val="22"/>
                <w:lang w:bidi="ar"/>
              </w:rPr>
              <w:t>包含数字及文字描述</w:t>
            </w:r>
            <w:r>
              <w:rPr>
                <w:rFonts w:ascii="宋体" w:hAnsi="宋体" w:eastAsia="宋体" w:cs="宋体"/>
                <w:color w:val="000000"/>
                <w:kern w:val="0"/>
                <w:sz w:val="22"/>
                <w:lang w:bidi="ar"/>
              </w:rPr>
              <w:t>)</w:t>
            </w:r>
          </w:p>
        </w:tc>
      </w:tr>
      <w:tr>
        <w:trPr>
          <w:wBefore w:w="0" w:type="dxa"/>
          <w:trHeight w:val="546" w:hRule="atLeast"/>
          <w:jc w:val="center"/>
        </w:trPr>
        <w:tc>
          <w:tcPr>
            <w:tcW w:w="86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项目完成指标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数量指标</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项目评审数量</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300</w:t>
            </w:r>
          </w:p>
        </w:tc>
        <w:tc>
          <w:tcPr>
            <w:tcW w:w="2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339</w:t>
            </w:r>
          </w:p>
        </w:tc>
      </w:tr>
      <w:tr>
        <w:trPr>
          <w:wBefore w:w="0" w:type="dxa"/>
          <w:trHeight w:val="552" w:hRule="atLeast"/>
          <w:jc w:val="center"/>
        </w:trPr>
        <w:tc>
          <w:tcPr>
            <w:tcW w:w="86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项目完成指标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质量指标</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委托评审造价复核</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年度预计委托评审5个，委托评审结果再复核率100%</w:t>
            </w:r>
          </w:p>
        </w:tc>
        <w:tc>
          <w:tcPr>
            <w:tcW w:w="2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全年委托评审4个，委托评审结果再复核率为80%</w:t>
            </w:r>
          </w:p>
        </w:tc>
      </w:tr>
      <w:tr>
        <w:trPr>
          <w:wBefore w:w="0" w:type="dxa"/>
          <w:trHeight w:val="533" w:hRule="atLeast"/>
          <w:jc w:val="center"/>
        </w:trPr>
        <w:tc>
          <w:tcPr>
            <w:tcW w:w="86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项目完成指标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宋体" w:hAnsi="宋体" w:eastAsia="宋体" w:cs="宋体"/>
                <w:color w:val="000000"/>
                <w:sz w:val="22"/>
              </w:rPr>
            </w:pPr>
            <w:r>
              <w:rPr>
                <w:rFonts w:hint="eastAsia" w:ascii="宋体" w:hAnsi="宋体" w:eastAsia="宋体" w:cs="宋体"/>
                <w:color w:val="000000"/>
                <w:sz w:val="22"/>
              </w:rPr>
              <w:t>时效指标</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b/>
                <w:bCs/>
                <w:color w:val="000000"/>
                <w:sz w:val="22"/>
              </w:rPr>
            </w:pPr>
            <w:r>
              <w:rPr>
                <w:rFonts w:hint="eastAsia" w:ascii="宋体" w:hAnsi="宋体" w:eastAsia="宋体" w:cs="宋体"/>
                <w:color w:val="000000"/>
                <w:sz w:val="22"/>
              </w:rPr>
              <w:t>评审结论完成时效</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在项目评审时间要求内，完成项目评审比率大于98%</w:t>
            </w:r>
          </w:p>
        </w:tc>
        <w:tc>
          <w:tcPr>
            <w:tcW w:w="2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全年完成项目时间比率为100%</w:t>
            </w:r>
          </w:p>
        </w:tc>
      </w:tr>
      <w:tr>
        <w:trPr>
          <w:wBefore w:w="0" w:type="dxa"/>
          <w:trHeight w:val="550" w:hRule="atLeast"/>
          <w:jc w:val="center"/>
        </w:trPr>
        <w:tc>
          <w:tcPr>
            <w:tcW w:w="86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项目完成指标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成本指标</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成本指标</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预算成本在预算内列支</w:t>
            </w:r>
          </w:p>
        </w:tc>
        <w:tc>
          <w:tcPr>
            <w:tcW w:w="2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成本在预算内列支</w:t>
            </w:r>
          </w:p>
        </w:tc>
      </w:tr>
      <w:tr>
        <w:trPr>
          <w:wBefore w:w="0" w:type="dxa"/>
          <w:trHeight w:val="534" w:hRule="atLeast"/>
          <w:jc w:val="center"/>
        </w:trPr>
        <w:tc>
          <w:tcPr>
            <w:tcW w:w="86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效益指标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经济效益</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预算资金投资节约</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年度预算评审项目审减不合理预算大于10%</w:t>
            </w:r>
          </w:p>
        </w:tc>
        <w:tc>
          <w:tcPr>
            <w:tcW w:w="2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年度预算评审项目审减11.32%</w:t>
            </w:r>
          </w:p>
        </w:tc>
      </w:tr>
      <w:tr>
        <w:trPr>
          <w:wBefore w:w="0" w:type="dxa"/>
          <w:wAfter w:w="0" w:type="dxa"/>
          <w:trHeight w:val="1329" w:hRule="atLeast"/>
          <w:jc w:val="center"/>
        </w:trPr>
        <w:tc>
          <w:tcPr>
            <w:tcW w:w="86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效益指标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可持续影响指标</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财政评审可持续性</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szCs w:val="21"/>
              </w:rPr>
              <w:t>制定和完善财政各项规范提升财政报告能力，积极宣传各项目财政政策服务评审项目管理，促进财政评审健康发展</w:t>
            </w:r>
            <w:r>
              <w:rPr>
                <w:rFonts w:hint="eastAsia" w:ascii="宋体" w:hAnsi="宋体" w:eastAsia="宋体" w:cs="宋体"/>
                <w:color w:val="000000"/>
                <w:sz w:val="22"/>
              </w:rPr>
              <w:t>。</w:t>
            </w:r>
          </w:p>
        </w:tc>
        <w:tc>
          <w:tcPr>
            <w:tcW w:w="2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制作评审政策汇编及中心工作流程上墙。</w:t>
            </w:r>
          </w:p>
        </w:tc>
      </w:tr>
      <w:tr>
        <w:tblPrEx>
          <w:tblCellMar>
            <w:top w:w="0" w:type="dxa"/>
            <w:left w:w="0" w:type="dxa"/>
            <w:bottom w:w="0" w:type="dxa"/>
            <w:right w:w="0" w:type="dxa"/>
          </w:tblCellMar>
        </w:tblPrEx>
        <w:trPr>
          <w:wBefore w:w="0" w:type="dxa"/>
          <w:wAfter w:w="0" w:type="dxa"/>
          <w:trHeight w:val="822" w:hRule="atLeast"/>
          <w:jc w:val="center"/>
        </w:trPr>
        <w:tc>
          <w:tcPr>
            <w:tcW w:w="86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满意度指标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服务对象满意度</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服务对象满意程度</w:t>
            </w:r>
          </w:p>
        </w:tc>
        <w:tc>
          <w:tcPr>
            <w:tcW w:w="2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535"/>
              </w:tabs>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评审人员工作作风、态度、效率“优”评价大于99%，遵守廉政纪律达到100%</w:t>
            </w:r>
          </w:p>
        </w:tc>
        <w:tc>
          <w:tcPr>
            <w:tcW w:w="2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服务对象满意度为100%</w:t>
            </w:r>
          </w:p>
        </w:tc>
      </w:tr>
    </w:tbl>
    <w:p>
      <w:pPr>
        <w:spacing w:line="620" w:lineRule="exact"/>
        <w:ind w:firstLine="646" w:firstLineChars="200"/>
      </w:pPr>
    </w:p>
    <w:p>
      <w:pPr>
        <w:spacing w:line="620" w:lineRule="exact"/>
        <w:jc w:val="center"/>
        <w:rPr>
          <w:rFonts w:hint="eastAsia" w:ascii="黑体" w:hAnsi="黑体" w:eastAsia="黑体"/>
        </w:rPr>
      </w:pPr>
      <w:r>
        <w:rPr>
          <w:rFonts w:hint="eastAsia" w:ascii="黑体" w:hAnsi="黑体" w:eastAsia="黑体"/>
        </w:rPr>
        <w:t>项目绩效目标完成情况表</w:t>
      </w:r>
    </w:p>
    <w:p>
      <w:pPr>
        <w:spacing w:line="620" w:lineRule="exact"/>
        <w:jc w:val="center"/>
        <w:rPr>
          <w:rFonts w:hint="eastAsia"/>
        </w:rPr>
      </w:pPr>
      <w:r>
        <w:rPr>
          <w:rFonts w:hint="eastAsia"/>
        </w:rPr>
        <w:t>（2020年度）</w:t>
      </w:r>
    </w:p>
    <w:tbl>
      <w:tblPr>
        <w:tblStyle w:val="10"/>
        <w:tblpPr w:leftFromText="180" w:rightFromText="180" w:vertAnchor="text" w:horzAnchor="page" w:tblpXSpec="center" w:tblpY="178"/>
        <w:tblOverlap w:val="never"/>
        <w:tblW w:w="9608" w:type="dxa"/>
        <w:jc w:val="center"/>
        <w:tblLayout w:type="fixed"/>
        <w:tblCellMar>
          <w:top w:w="0" w:type="dxa"/>
          <w:left w:w="0" w:type="dxa"/>
          <w:bottom w:w="0" w:type="dxa"/>
          <w:right w:w="0" w:type="dxa"/>
        </w:tblCellMar>
      </w:tblPr>
      <w:tblGrid>
        <w:gridCol w:w="837"/>
        <w:gridCol w:w="1098"/>
        <w:gridCol w:w="1218"/>
        <w:gridCol w:w="12"/>
        <w:gridCol w:w="1790"/>
        <w:gridCol w:w="2318"/>
        <w:gridCol w:w="2316"/>
        <w:gridCol w:w="19"/>
      </w:tblGrid>
      <w:tr>
        <w:trPr>
          <w:wBefore w:w="0" w:type="dxa"/>
          <w:wAfter w:w="0" w:type="dxa"/>
          <w:trHeight w:val="378" w:hRule="atLeast"/>
          <w:jc w:val="center"/>
        </w:trPr>
        <w:tc>
          <w:tcPr>
            <w:tcW w:w="316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项目名称</w:t>
            </w:r>
          </w:p>
        </w:tc>
        <w:tc>
          <w:tcPr>
            <w:tcW w:w="64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信息化建设及运维项目</w:t>
            </w:r>
          </w:p>
        </w:tc>
      </w:tr>
      <w:tr>
        <w:tblPrEx>
          <w:tblCellMar>
            <w:top w:w="0" w:type="dxa"/>
            <w:left w:w="0" w:type="dxa"/>
            <w:bottom w:w="0" w:type="dxa"/>
            <w:right w:w="0" w:type="dxa"/>
          </w:tblCellMar>
        </w:tblPrEx>
        <w:trPr>
          <w:wBefore w:w="0" w:type="dxa"/>
          <w:wAfter w:w="0" w:type="dxa"/>
          <w:trHeight w:val="378" w:hRule="atLeast"/>
          <w:jc w:val="center"/>
        </w:trPr>
        <w:tc>
          <w:tcPr>
            <w:tcW w:w="316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预算单位</w:t>
            </w:r>
          </w:p>
        </w:tc>
        <w:tc>
          <w:tcPr>
            <w:tcW w:w="64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遂宁市政府投资评审中心</w:t>
            </w:r>
          </w:p>
        </w:tc>
      </w:tr>
      <w:tr>
        <w:trPr>
          <w:gridAfter w:val="1"/>
          <w:wBefore w:w="0" w:type="dxa"/>
          <w:wAfter w:w="19" w:type="dxa"/>
          <w:trHeight w:val="378"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预算执行情况</w:t>
            </w:r>
            <w:r>
              <w:rPr>
                <w:rFonts w:ascii="宋体" w:hAnsi="宋体" w:eastAsia="宋体" w:cs="宋体"/>
                <w:color w:val="000000"/>
                <w:sz w:val="22"/>
              </w:rPr>
              <w:t>(</w:t>
            </w:r>
            <w:r>
              <w:rPr>
                <w:rFonts w:hint="eastAsia" w:ascii="宋体" w:hAnsi="宋体" w:eastAsia="宋体" w:cs="宋体"/>
                <w:color w:val="000000"/>
                <w:sz w:val="22"/>
              </w:rPr>
              <w:t>万元</w:t>
            </w:r>
            <w:r>
              <w:rPr>
                <w:rFonts w:ascii="宋体" w:hAnsi="宋体" w:eastAsia="宋体" w:cs="宋体"/>
                <w:color w:val="000000"/>
                <w:sz w:val="22"/>
              </w:rPr>
              <w:t>)</w:t>
            </w:r>
          </w:p>
        </w:tc>
        <w:tc>
          <w:tcPr>
            <w:tcW w:w="2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预算数</w:t>
            </w:r>
            <w:r>
              <w:rPr>
                <w:rFonts w:ascii="宋体" w:hAnsi="宋体" w:eastAsia="宋体" w:cs="宋体"/>
                <w:color w:val="000000"/>
                <w:sz w:val="22"/>
              </w:rPr>
              <w:t>:</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3</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执行数</w:t>
            </w:r>
            <w:r>
              <w:rPr>
                <w:rFonts w:ascii="宋体" w:hAnsi="宋体" w:eastAsia="宋体" w:cs="宋体"/>
                <w:color w:val="000000"/>
                <w:sz w:val="22"/>
              </w:rPr>
              <w:t>:</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3</w:t>
            </w:r>
          </w:p>
        </w:tc>
      </w:tr>
      <w:tr>
        <w:tblPrEx>
          <w:tblCellMar>
            <w:top w:w="0" w:type="dxa"/>
            <w:left w:w="0" w:type="dxa"/>
            <w:bottom w:w="0" w:type="dxa"/>
            <w:right w:w="0" w:type="dxa"/>
          </w:tblCellMar>
        </w:tblPrEx>
        <w:trPr>
          <w:gridAfter w:val="1"/>
          <w:wBefore w:w="0" w:type="dxa"/>
          <w:wAfter w:w="19" w:type="dxa"/>
          <w:trHeight w:val="378"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2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其中</w:t>
            </w:r>
            <w:r>
              <w:rPr>
                <w:rFonts w:ascii="宋体" w:hAnsi="宋体" w:eastAsia="宋体" w:cs="宋体"/>
                <w:color w:val="000000"/>
                <w:sz w:val="22"/>
              </w:rPr>
              <w:t>-</w:t>
            </w:r>
            <w:r>
              <w:rPr>
                <w:rFonts w:hint="eastAsia" w:ascii="宋体" w:hAnsi="宋体" w:eastAsia="宋体" w:cs="宋体"/>
                <w:color w:val="000000"/>
                <w:sz w:val="22"/>
              </w:rPr>
              <w:t>财政拨款</w:t>
            </w:r>
            <w:r>
              <w:rPr>
                <w:rFonts w:ascii="宋体" w:hAnsi="宋体" w:eastAsia="宋体" w:cs="宋体"/>
                <w:color w:val="000000"/>
                <w:sz w:val="22"/>
              </w:rPr>
              <w:t>:</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3</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其中</w:t>
            </w:r>
            <w:r>
              <w:rPr>
                <w:rFonts w:ascii="宋体" w:hAnsi="宋体" w:eastAsia="宋体" w:cs="宋体"/>
                <w:color w:val="000000"/>
                <w:sz w:val="22"/>
              </w:rPr>
              <w:t>-</w:t>
            </w:r>
            <w:r>
              <w:rPr>
                <w:rFonts w:hint="eastAsia" w:ascii="宋体" w:hAnsi="宋体" w:eastAsia="宋体" w:cs="宋体"/>
                <w:color w:val="000000"/>
                <w:sz w:val="22"/>
              </w:rPr>
              <w:t>财政拨款</w:t>
            </w:r>
            <w:r>
              <w:rPr>
                <w:rFonts w:ascii="宋体" w:hAnsi="宋体" w:eastAsia="宋体" w:cs="宋体"/>
                <w:color w:val="000000"/>
                <w:sz w:val="22"/>
              </w:rPr>
              <w:t>:</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3</w:t>
            </w:r>
          </w:p>
        </w:tc>
      </w:tr>
      <w:tr>
        <w:trPr>
          <w:gridAfter w:val="1"/>
          <w:wBefore w:w="0" w:type="dxa"/>
          <w:wAfter w:w="19" w:type="dxa"/>
          <w:trHeight w:val="8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23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其它资金</w:t>
            </w:r>
            <w:r>
              <w:rPr>
                <w:rFonts w:ascii="宋体" w:hAnsi="宋体" w:eastAsia="宋体" w:cs="宋体"/>
                <w:color w:val="000000"/>
                <w:sz w:val="22"/>
              </w:rPr>
              <w:t>:</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其它资金</w:t>
            </w:r>
            <w:r>
              <w:rPr>
                <w:rFonts w:ascii="宋体" w:hAnsi="宋体" w:eastAsia="宋体" w:cs="宋体"/>
                <w:color w:val="000000"/>
                <w:sz w:val="22"/>
              </w:rPr>
              <w:t>:</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r>
      <w:tr>
        <w:tblPrEx>
          <w:tblCellMar>
            <w:top w:w="0" w:type="dxa"/>
            <w:left w:w="0" w:type="dxa"/>
            <w:bottom w:w="0" w:type="dxa"/>
            <w:right w:w="0" w:type="dxa"/>
          </w:tblCellMar>
        </w:tblPrEx>
        <w:trPr>
          <w:gridAfter w:val="1"/>
          <w:wBefore w:w="0" w:type="dxa"/>
          <w:wAfter w:w="19" w:type="dxa"/>
          <w:trHeight w:val="378"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年度目标完成情况</w:t>
            </w:r>
          </w:p>
        </w:tc>
        <w:tc>
          <w:tcPr>
            <w:tcW w:w="411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预期目标</w:t>
            </w:r>
          </w:p>
        </w:tc>
        <w:tc>
          <w:tcPr>
            <w:tcW w:w="46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实际完成目标</w:t>
            </w:r>
          </w:p>
        </w:tc>
      </w:tr>
      <w:tr>
        <w:trPr>
          <w:gridAfter w:val="1"/>
          <w:wBefore w:w="0" w:type="dxa"/>
          <w:wAfter w:w="19" w:type="dxa"/>
          <w:trHeight w:val="90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411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开展工程造价评审工作约50项。</w:t>
            </w:r>
          </w:p>
        </w:tc>
        <w:tc>
          <w:tcPr>
            <w:tcW w:w="46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实际完成工程造价评审工作97项。</w:t>
            </w:r>
          </w:p>
        </w:tc>
      </w:tr>
      <w:tr>
        <w:tblPrEx>
          <w:tblCellMar>
            <w:top w:w="0" w:type="dxa"/>
            <w:left w:w="0" w:type="dxa"/>
            <w:bottom w:w="0" w:type="dxa"/>
            <w:right w:w="0" w:type="dxa"/>
          </w:tblCellMar>
        </w:tblPrEx>
        <w:trPr>
          <w:gridAfter w:val="1"/>
          <w:wBefore w:w="0" w:type="dxa"/>
          <w:wAfter w:w="19" w:type="dxa"/>
          <w:trHeight w:val="759" w:hRule="atLeast"/>
          <w:jc w:val="center"/>
        </w:trPr>
        <w:tc>
          <w:tcPr>
            <w:tcW w:w="8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绩效指标完成情况</w:t>
            </w:r>
          </w:p>
        </w:tc>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一级指标</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二级指标</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三级指标</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预期指标值</w:t>
            </w:r>
            <w:r>
              <w:rPr>
                <w:rFonts w:ascii="宋体" w:hAnsi="宋体" w:eastAsia="宋体" w:cs="宋体"/>
                <w:color w:val="000000"/>
                <w:sz w:val="22"/>
              </w:rPr>
              <w:t>(</w:t>
            </w:r>
            <w:r>
              <w:rPr>
                <w:rFonts w:hint="eastAsia" w:ascii="宋体" w:hAnsi="宋体" w:eastAsia="宋体" w:cs="宋体"/>
                <w:color w:val="000000"/>
                <w:sz w:val="22"/>
              </w:rPr>
              <w:t>包含数字及文字描述</w:t>
            </w:r>
            <w:r>
              <w:rPr>
                <w:rFonts w:ascii="宋体" w:hAnsi="宋体" w:eastAsia="宋体" w:cs="宋体"/>
                <w:color w:val="000000"/>
                <w:sz w:val="22"/>
              </w:rPr>
              <w:t>)</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实际完成指标值</w:t>
            </w:r>
            <w:r>
              <w:rPr>
                <w:rFonts w:ascii="宋体" w:hAnsi="宋体" w:eastAsia="宋体" w:cs="宋体"/>
                <w:color w:val="000000"/>
                <w:sz w:val="22"/>
              </w:rPr>
              <w:t>(</w:t>
            </w:r>
            <w:r>
              <w:rPr>
                <w:rFonts w:hint="eastAsia" w:ascii="宋体" w:hAnsi="宋体" w:eastAsia="宋体" w:cs="宋体"/>
                <w:color w:val="000000"/>
                <w:sz w:val="22"/>
              </w:rPr>
              <w:t>包含数字及文字描述</w:t>
            </w:r>
            <w:r>
              <w:rPr>
                <w:rFonts w:ascii="宋体" w:hAnsi="宋体" w:eastAsia="宋体" w:cs="宋体"/>
                <w:color w:val="000000"/>
                <w:sz w:val="22"/>
              </w:rPr>
              <w:t>)</w:t>
            </w:r>
          </w:p>
        </w:tc>
      </w:tr>
      <w:tr>
        <w:trPr>
          <w:gridAfter w:val="1"/>
          <w:wBefore w:w="0" w:type="dxa"/>
          <w:wAfter w:w="19" w:type="dxa"/>
          <w:trHeight w:val="731" w:hRule="atLeast"/>
          <w:jc w:val="center"/>
        </w:trPr>
        <w:tc>
          <w:tcPr>
            <w:tcW w:w="83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项目完成指标</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数量指标</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开展工程造价评审工作</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约50项</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完成97项</w:t>
            </w:r>
          </w:p>
        </w:tc>
      </w:tr>
      <w:tr>
        <w:tblPrEx>
          <w:tblCellMar>
            <w:top w:w="0" w:type="dxa"/>
            <w:left w:w="0" w:type="dxa"/>
            <w:bottom w:w="0" w:type="dxa"/>
            <w:right w:w="0" w:type="dxa"/>
          </w:tblCellMar>
        </w:tblPrEx>
        <w:trPr>
          <w:gridAfter w:val="1"/>
          <w:wBefore w:w="0" w:type="dxa"/>
          <w:wAfter w:w="19" w:type="dxa"/>
          <w:trHeight w:val="935" w:hRule="atLeast"/>
          <w:jc w:val="center"/>
        </w:trPr>
        <w:tc>
          <w:tcPr>
            <w:tcW w:w="83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项目完成指标</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质量指标</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软件升级</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保证正常使用</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软件升级完成</w:t>
            </w:r>
          </w:p>
        </w:tc>
      </w:tr>
      <w:tr>
        <w:trPr>
          <w:gridAfter w:val="1"/>
          <w:wBefore w:w="0" w:type="dxa"/>
          <w:wAfter w:w="19" w:type="dxa"/>
          <w:trHeight w:val="930" w:hRule="atLeast"/>
          <w:jc w:val="center"/>
        </w:trPr>
        <w:tc>
          <w:tcPr>
            <w:tcW w:w="83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项目完成指标</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时效指标</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完成中心评审工作</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长期</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长期使用</w:t>
            </w:r>
          </w:p>
        </w:tc>
      </w:tr>
      <w:tr>
        <w:tblPrEx>
          <w:tblCellMar>
            <w:top w:w="0" w:type="dxa"/>
            <w:left w:w="0" w:type="dxa"/>
            <w:bottom w:w="0" w:type="dxa"/>
            <w:right w:w="0" w:type="dxa"/>
          </w:tblCellMar>
        </w:tblPrEx>
        <w:trPr>
          <w:gridAfter w:val="1"/>
          <w:wBefore w:w="0" w:type="dxa"/>
          <w:wAfter w:w="19" w:type="dxa"/>
          <w:trHeight w:val="945" w:hRule="atLeast"/>
          <w:jc w:val="center"/>
        </w:trPr>
        <w:tc>
          <w:tcPr>
            <w:tcW w:w="83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项目完成指标</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成本指标</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工程造价软件升级费</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按照合同要求</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费用已支付</w:t>
            </w:r>
          </w:p>
        </w:tc>
      </w:tr>
      <w:tr>
        <w:trPr>
          <w:gridAfter w:val="1"/>
          <w:wBefore w:w="0" w:type="dxa"/>
          <w:wAfter w:w="19" w:type="dxa"/>
          <w:trHeight w:val="938" w:hRule="atLeast"/>
          <w:jc w:val="center"/>
        </w:trPr>
        <w:tc>
          <w:tcPr>
            <w:tcW w:w="83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效益指标</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经济效益</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充分利用工程软件结果</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提高评审人员时间，保质保量完成评审任务。</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提高时间，保质保量完成评审任务。</w:t>
            </w:r>
          </w:p>
        </w:tc>
      </w:tr>
      <w:tr>
        <w:tblPrEx>
          <w:tblCellMar>
            <w:top w:w="0" w:type="dxa"/>
            <w:left w:w="0" w:type="dxa"/>
            <w:bottom w:w="0" w:type="dxa"/>
            <w:right w:w="0" w:type="dxa"/>
          </w:tblCellMar>
        </w:tblPrEx>
        <w:trPr>
          <w:gridAfter w:val="1"/>
          <w:wBefore w:w="0" w:type="dxa"/>
          <w:wAfter w:w="19" w:type="dxa"/>
          <w:trHeight w:val="1127" w:hRule="atLeast"/>
          <w:jc w:val="center"/>
        </w:trPr>
        <w:tc>
          <w:tcPr>
            <w:tcW w:w="83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效益指标</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社会效益</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充分利用工程造价软件的社会效益</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审掉了不合理资金，为政府节约大量的财政资金。</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审掉不合理资金，为政府节约大量的财政资金。</w:t>
            </w:r>
          </w:p>
        </w:tc>
      </w:tr>
      <w:tr>
        <w:trPr>
          <w:gridAfter w:val="1"/>
          <w:wBefore w:w="0" w:type="dxa"/>
          <w:wAfter w:w="19" w:type="dxa"/>
          <w:trHeight w:val="931" w:hRule="atLeast"/>
          <w:jc w:val="center"/>
        </w:trPr>
        <w:tc>
          <w:tcPr>
            <w:tcW w:w="83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满意度</w:t>
            </w:r>
          </w:p>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指标</w:t>
            </w:r>
          </w:p>
        </w:tc>
        <w:tc>
          <w:tcPr>
            <w:tcW w:w="1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满意度指标</w:t>
            </w:r>
          </w:p>
        </w:tc>
        <w:tc>
          <w:tcPr>
            <w:tcW w:w="18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用户满意度</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90%</w:t>
            </w:r>
          </w:p>
        </w:tc>
        <w:tc>
          <w:tcPr>
            <w:tcW w:w="2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95%</w:t>
            </w:r>
          </w:p>
        </w:tc>
      </w:tr>
    </w:tbl>
    <w:p>
      <w:pPr>
        <w:spacing w:line="620" w:lineRule="exact"/>
        <w:ind w:firstLine="646" w:firstLineChars="200"/>
      </w:pPr>
    </w:p>
    <w:p>
      <w:pPr>
        <w:spacing w:line="620" w:lineRule="exact"/>
        <w:jc w:val="center"/>
        <w:rPr>
          <w:rFonts w:hint="eastAsia" w:ascii="黑体" w:hAnsi="黑体" w:eastAsia="黑体"/>
        </w:rPr>
      </w:pPr>
      <w:r>
        <w:rPr>
          <w:rFonts w:hint="eastAsia" w:ascii="黑体" w:hAnsi="黑体" w:eastAsia="黑体"/>
        </w:rPr>
        <w:t>项目绩效目标完成情况表</w:t>
      </w:r>
    </w:p>
    <w:p>
      <w:pPr>
        <w:spacing w:line="620" w:lineRule="exact"/>
        <w:jc w:val="center"/>
      </w:pPr>
      <w:r>
        <w:rPr>
          <w:rFonts w:hint="eastAsia"/>
        </w:rPr>
        <w:t>（2020年度）</w:t>
      </w:r>
    </w:p>
    <w:tbl>
      <w:tblPr>
        <w:tblStyle w:val="10"/>
        <w:tblpPr w:leftFromText="180" w:rightFromText="180" w:vertAnchor="text" w:horzAnchor="page" w:tblpXSpec="center" w:tblpY="178"/>
        <w:tblOverlap w:val="never"/>
        <w:tblW w:w="9386" w:type="dxa"/>
        <w:jc w:val="center"/>
        <w:tblLayout w:type="fixed"/>
        <w:tblCellMar>
          <w:top w:w="0" w:type="dxa"/>
          <w:left w:w="0" w:type="dxa"/>
          <w:bottom w:w="0" w:type="dxa"/>
          <w:right w:w="0" w:type="dxa"/>
        </w:tblCellMar>
      </w:tblPr>
      <w:tblGrid>
        <w:gridCol w:w="719"/>
        <w:gridCol w:w="1127"/>
        <w:gridCol w:w="1248"/>
        <w:gridCol w:w="11"/>
        <w:gridCol w:w="13"/>
        <w:gridCol w:w="1734"/>
        <w:gridCol w:w="11"/>
        <w:gridCol w:w="2102"/>
        <w:gridCol w:w="11"/>
        <w:gridCol w:w="2370"/>
        <w:gridCol w:w="11"/>
        <w:gridCol w:w="29"/>
      </w:tblGrid>
      <w:tr>
        <w:tblPrEx>
          <w:tblCellMar>
            <w:top w:w="0" w:type="dxa"/>
            <w:left w:w="0" w:type="dxa"/>
            <w:bottom w:w="0" w:type="dxa"/>
            <w:right w:w="0" w:type="dxa"/>
          </w:tblCellMar>
        </w:tblPrEx>
        <w:trPr>
          <w:wBefore w:w="0" w:type="dxa"/>
          <w:wAfter w:w="0" w:type="dxa"/>
          <w:trHeight w:val="359" w:hRule="atLeast"/>
          <w:jc w:val="center"/>
        </w:trPr>
        <w:tc>
          <w:tcPr>
            <w:tcW w:w="311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项目名称</w:t>
            </w:r>
          </w:p>
        </w:tc>
        <w:tc>
          <w:tcPr>
            <w:tcW w:w="626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设备购置项目</w:t>
            </w:r>
          </w:p>
        </w:tc>
      </w:tr>
      <w:tr>
        <w:trPr>
          <w:wBefore w:w="0" w:type="dxa"/>
          <w:wAfter w:w="0" w:type="dxa"/>
          <w:trHeight w:val="359" w:hRule="atLeast"/>
          <w:jc w:val="center"/>
        </w:trPr>
        <w:tc>
          <w:tcPr>
            <w:tcW w:w="311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预算单位</w:t>
            </w:r>
          </w:p>
        </w:tc>
        <w:tc>
          <w:tcPr>
            <w:tcW w:w="626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遂宁市政府投资评审中心</w:t>
            </w:r>
          </w:p>
        </w:tc>
      </w:tr>
      <w:tr>
        <w:tblPrEx>
          <w:tblCellMar>
            <w:top w:w="0" w:type="dxa"/>
            <w:left w:w="0" w:type="dxa"/>
            <w:bottom w:w="0" w:type="dxa"/>
            <w:right w:w="0" w:type="dxa"/>
          </w:tblCellMar>
        </w:tblPrEx>
        <w:trPr>
          <w:gridAfter w:val="1"/>
          <w:wBefore w:w="0" w:type="dxa"/>
          <w:wAfter w:w="29" w:type="dxa"/>
          <w:trHeight w:val="359"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预算执行情况</w:t>
            </w:r>
            <w:r>
              <w:rPr>
                <w:rFonts w:ascii="宋体" w:hAnsi="宋体" w:eastAsia="宋体" w:cs="宋体"/>
                <w:color w:val="000000"/>
                <w:sz w:val="22"/>
              </w:rPr>
              <w:t>(</w:t>
            </w:r>
            <w:r>
              <w:rPr>
                <w:rFonts w:hint="eastAsia" w:ascii="宋体" w:hAnsi="宋体" w:eastAsia="宋体" w:cs="宋体"/>
                <w:color w:val="000000"/>
                <w:sz w:val="22"/>
              </w:rPr>
              <w:t>万元</w:t>
            </w:r>
            <w:r>
              <w:rPr>
                <w:rFonts w:ascii="宋体" w:hAnsi="宋体" w:eastAsia="宋体" w:cs="宋体"/>
                <w:color w:val="000000"/>
                <w:sz w:val="22"/>
              </w:rPr>
              <w:t>)</w:t>
            </w:r>
          </w:p>
        </w:tc>
        <w:tc>
          <w:tcPr>
            <w:tcW w:w="23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预算数</w:t>
            </w:r>
            <w:r>
              <w:rPr>
                <w:rFonts w:ascii="宋体" w:hAnsi="宋体" w:eastAsia="宋体" w:cs="宋体"/>
                <w:color w:val="000000"/>
                <w:sz w:val="22"/>
              </w:rPr>
              <w:t>:</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4</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执行数</w:t>
            </w:r>
            <w:r>
              <w:rPr>
                <w:rFonts w:ascii="宋体" w:hAnsi="宋体" w:eastAsia="宋体" w:cs="宋体"/>
                <w:color w:val="000000"/>
                <w:sz w:val="22"/>
              </w:rPr>
              <w:t>:</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0</w:t>
            </w:r>
          </w:p>
        </w:tc>
      </w:tr>
      <w:tr>
        <w:trPr>
          <w:gridAfter w:val="1"/>
          <w:wBefore w:w="0" w:type="dxa"/>
          <w:wAfter w:w="29" w:type="dxa"/>
          <w:trHeight w:val="35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23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其中</w:t>
            </w:r>
            <w:r>
              <w:rPr>
                <w:rFonts w:ascii="宋体" w:hAnsi="宋体" w:eastAsia="宋体" w:cs="宋体"/>
                <w:color w:val="000000"/>
                <w:sz w:val="22"/>
              </w:rPr>
              <w:t>-</w:t>
            </w:r>
            <w:r>
              <w:rPr>
                <w:rFonts w:hint="eastAsia" w:ascii="宋体" w:hAnsi="宋体" w:eastAsia="宋体" w:cs="宋体"/>
                <w:color w:val="000000"/>
                <w:sz w:val="22"/>
              </w:rPr>
              <w:t>财政拨款</w:t>
            </w:r>
            <w:r>
              <w:rPr>
                <w:rFonts w:ascii="宋体" w:hAnsi="宋体" w:eastAsia="宋体" w:cs="宋体"/>
                <w:color w:val="000000"/>
                <w:sz w:val="22"/>
              </w:rPr>
              <w:t>:</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4</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其中</w:t>
            </w:r>
            <w:r>
              <w:rPr>
                <w:rFonts w:ascii="宋体" w:hAnsi="宋体" w:eastAsia="宋体" w:cs="宋体"/>
                <w:color w:val="000000"/>
                <w:sz w:val="22"/>
              </w:rPr>
              <w:t>-</w:t>
            </w:r>
            <w:r>
              <w:rPr>
                <w:rFonts w:hint="eastAsia" w:ascii="宋体" w:hAnsi="宋体" w:eastAsia="宋体" w:cs="宋体"/>
                <w:color w:val="000000"/>
                <w:sz w:val="22"/>
              </w:rPr>
              <w:t>财政拨款</w:t>
            </w:r>
            <w:r>
              <w:rPr>
                <w:rFonts w:ascii="宋体" w:hAnsi="宋体" w:eastAsia="宋体" w:cs="宋体"/>
                <w:color w:val="000000"/>
                <w:sz w:val="22"/>
              </w:rPr>
              <w:t>:</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0" w:type="dxa"/>
            <w:left w:w="0" w:type="dxa"/>
            <w:bottom w:w="0" w:type="dxa"/>
            <w:right w:w="0" w:type="dxa"/>
          </w:tblCellMar>
        </w:tblPrEx>
        <w:trPr>
          <w:gridAfter w:val="1"/>
          <w:wBefore w:w="0" w:type="dxa"/>
          <w:wAfter w:w="29" w:type="dxa"/>
          <w:trHeight w:val="986"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23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其它资金</w:t>
            </w:r>
            <w:r>
              <w:rPr>
                <w:rFonts w:ascii="宋体" w:hAnsi="宋体" w:eastAsia="宋体" w:cs="宋体"/>
                <w:color w:val="000000"/>
                <w:sz w:val="22"/>
              </w:rPr>
              <w:t>:</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其它资金</w:t>
            </w:r>
            <w:r>
              <w:rPr>
                <w:rFonts w:ascii="宋体" w:hAnsi="宋体" w:eastAsia="宋体" w:cs="宋体"/>
                <w:color w:val="000000"/>
                <w:sz w:val="22"/>
              </w:rPr>
              <w:t>:</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r>
      <w:tr>
        <w:trPr>
          <w:gridAfter w:val="1"/>
          <w:wBefore w:w="0" w:type="dxa"/>
          <w:wAfter w:w="29" w:type="dxa"/>
          <w:trHeight w:val="359"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年度目标完成情况</w:t>
            </w:r>
          </w:p>
        </w:tc>
        <w:tc>
          <w:tcPr>
            <w:tcW w:w="414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预期目标</w:t>
            </w:r>
          </w:p>
        </w:tc>
        <w:tc>
          <w:tcPr>
            <w:tcW w:w="44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实际完成目标</w:t>
            </w:r>
          </w:p>
        </w:tc>
      </w:tr>
      <w:tr>
        <w:tblPrEx>
          <w:tblCellMar>
            <w:top w:w="0" w:type="dxa"/>
            <w:left w:w="0" w:type="dxa"/>
            <w:bottom w:w="0" w:type="dxa"/>
            <w:right w:w="0" w:type="dxa"/>
          </w:tblCellMar>
        </w:tblPrEx>
        <w:trPr>
          <w:gridAfter w:val="1"/>
          <w:wBefore w:w="0" w:type="dxa"/>
          <w:wAfter w:w="29" w:type="dxa"/>
          <w:trHeight w:val="1507"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414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购买4台台式机</w:t>
            </w:r>
          </w:p>
        </w:tc>
        <w:tc>
          <w:tcPr>
            <w:tcW w:w="44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ascii="宋体" w:hAnsi="宋体" w:eastAsia="宋体" w:cs="宋体"/>
                <w:color w:val="000000"/>
                <w:sz w:val="22"/>
              </w:rPr>
              <w:t>因政府强制要求使用安可电脑不满足工程计量计价财政评审技术需求，未实施。</w:t>
            </w:r>
          </w:p>
        </w:tc>
      </w:tr>
      <w:tr>
        <w:trPr>
          <w:gridAfter w:val="2"/>
          <w:wBefore w:w="0" w:type="dxa"/>
          <w:wAfter w:w="40" w:type="dxa"/>
          <w:trHeight w:val="973" w:hRule="atLeast"/>
          <w:jc w:val="center"/>
        </w:trPr>
        <w:tc>
          <w:tcPr>
            <w:tcW w:w="71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绩效指标完成情况</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一级指标</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二级指标</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三级指标</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预期指标值</w:t>
            </w:r>
            <w:r>
              <w:rPr>
                <w:rFonts w:ascii="宋体" w:hAnsi="宋体" w:eastAsia="宋体" w:cs="宋体"/>
                <w:color w:val="000000"/>
                <w:sz w:val="22"/>
              </w:rPr>
              <w:t>(</w:t>
            </w:r>
            <w:r>
              <w:rPr>
                <w:rFonts w:hint="eastAsia" w:ascii="宋体" w:hAnsi="宋体" w:eastAsia="宋体" w:cs="宋体"/>
                <w:color w:val="000000"/>
                <w:sz w:val="22"/>
              </w:rPr>
              <w:t>包含数字及文字描述</w:t>
            </w:r>
            <w:r>
              <w:rPr>
                <w:rFonts w:ascii="宋体" w:hAnsi="宋体" w:eastAsia="宋体" w:cs="宋体"/>
                <w:color w:val="000000"/>
                <w:sz w:val="22"/>
              </w:rPr>
              <w:t>)</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实际完成指标值</w:t>
            </w:r>
            <w:r>
              <w:rPr>
                <w:rFonts w:ascii="宋体" w:hAnsi="宋体" w:eastAsia="宋体" w:cs="宋体"/>
                <w:color w:val="000000"/>
                <w:sz w:val="22"/>
              </w:rPr>
              <w:t>(</w:t>
            </w:r>
            <w:r>
              <w:rPr>
                <w:rFonts w:hint="eastAsia" w:ascii="宋体" w:hAnsi="宋体" w:eastAsia="宋体" w:cs="宋体"/>
                <w:color w:val="000000"/>
                <w:sz w:val="22"/>
              </w:rPr>
              <w:t>包含数字及文字描述</w:t>
            </w:r>
            <w:r>
              <w:rPr>
                <w:rFonts w:ascii="宋体" w:hAnsi="宋体" w:eastAsia="宋体" w:cs="宋体"/>
                <w:color w:val="000000"/>
                <w:sz w:val="22"/>
              </w:rPr>
              <w:t>)</w:t>
            </w:r>
          </w:p>
        </w:tc>
      </w:tr>
      <w:tr>
        <w:tblPrEx>
          <w:tblCellMar>
            <w:top w:w="0" w:type="dxa"/>
            <w:left w:w="0" w:type="dxa"/>
            <w:bottom w:w="0" w:type="dxa"/>
            <w:right w:w="0" w:type="dxa"/>
          </w:tblCellMar>
        </w:tblPrEx>
        <w:trPr>
          <w:gridAfter w:val="2"/>
          <w:wBefore w:w="0" w:type="dxa"/>
          <w:wAfter w:w="40" w:type="dxa"/>
          <w:trHeight w:val="895" w:hRule="atLeast"/>
          <w:jc w:val="center"/>
        </w:trPr>
        <w:tc>
          <w:tcPr>
            <w:tcW w:w="719"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项目完成指标</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数量指标</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购买台式机</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4台</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r>
      <w:tr>
        <w:trPr>
          <w:gridAfter w:val="2"/>
          <w:wBefore w:w="0" w:type="dxa"/>
          <w:wAfter w:w="40" w:type="dxa"/>
          <w:trHeight w:val="705" w:hRule="atLeast"/>
          <w:jc w:val="center"/>
        </w:trPr>
        <w:tc>
          <w:tcPr>
            <w:tcW w:w="719"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项目完成指标</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质量指标</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购买办公设备质量标准</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按照行政事业单位办公设备标准</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r>
      <w:tr>
        <w:tblPrEx>
          <w:tblCellMar>
            <w:top w:w="0" w:type="dxa"/>
            <w:left w:w="0" w:type="dxa"/>
            <w:bottom w:w="0" w:type="dxa"/>
            <w:right w:w="0" w:type="dxa"/>
          </w:tblCellMar>
        </w:tblPrEx>
        <w:trPr>
          <w:gridAfter w:val="2"/>
          <w:wBefore w:w="0" w:type="dxa"/>
          <w:wAfter w:w="40" w:type="dxa"/>
          <w:trHeight w:val="697" w:hRule="atLeast"/>
          <w:jc w:val="center"/>
        </w:trPr>
        <w:tc>
          <w:tcPr>
            <w:tcW w:w="719"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项目完成指标</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时效指标</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购买时间</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12月前</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r>
      <w:tr>
        <w:trPr>
          <w:gridAfter w:val="2"/>
          <w:wBefore w:w="0" w:type="dxa"/>
          <w:wAfter w:w="40" w:type="dxa"/>
          <w:trHeight w:val="707" w:hRule="atLeast"/>
          <w:jc w:val="center"/>
        </w:trPr>
        <w:tc>
          <w:tcPr>
            <w:tcW w:w="719"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项目完成指标</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成本指标</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购买办公设备成本</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不超过办公家具配置标准</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r>
      <w:tr>
        <w:tblPrEx>
          <w:tblCellMar>
            <w:top w:w="0" w:type="dxa"/>
            <w:left w:w="0" w:type="dxa"/>
            <w:bottom w:w="0" w:type="dxa"/>
            <w:right w:w="0" w:type="dxa"/>
          </w:tblCellMar>
        </w:tblPrEx>
        <w:trPr>
          <w:gridAfter w:val="2"/>
          <w:wBefore w:w="0" w:type="dxa"/>
          <w:wAfter w:w="40" w:type="dxa"/>
          <w:trHeight w:val="718" w:hRule="atLeast"/>
          <w:jc w:val="center"/>
        </w:trPr>
        <w:tc>
          <w:tcPr>
            <w:tcW w:w="719"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效益指标</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社会效益</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购买指定</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根据安可替代工程计划购买资产</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r>
      <w:tr>
        <w:trPr>
          <w:gridAfter w:val="2"/>
          <w:wBefore w:w="0" w:type="dxa"/>
          <w:wAfter w:w="40" w:type="dxa"/>
          <w:trHeight w:val="895" w:hRule="atLeast"/>
          <w:jc w:val="center"/>
        </w:trPr>
        <w:tc>
          <w:tcPr>
            <w:tcW w:w="719"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效益指标</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可持续性</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资产使用时限</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按照行政事业单位办公设备最低使用年限标准。</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r>
      <w:tr>
        <w:tblPrEx>
          <w:tblCellMar>
            <w:top w:w="0" w:type="dxa"/>
            <w:left w:w="0" w:type="dxa"/>
            <w:bottom w:w="0" w:type="dxa"/>
            <w:right w:w="0" w:type="dxa"/>
          </w:tblCellMar>
        </w:tblPrEx>
        <w:trPr>
          <w:gridAfter w:val="2"/>
          <w:wBefore w:w="0" w:type="dxa"/>
          <w:wAfter w:w="40" w:type="dxa"/>
          <w:trHeight w:val="852" w:hRule="atLeast"/>
          <w:jc w:val="center"/>
        </w:trPr>
        <w:tc>
          <w:tcPr>
            <w:tcW w:w="71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满意度指标</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满意度指标</w:t>
            </w:r>
          </w:p>
        </w:tc>
        <w:tc>
          <w:tcPr>
            <w:tcW w:w="17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资产使用人员满意度</w:t>
            </w: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大于90%</w:t>
            </w:r>
          </w:p>
        </w:tc>
        <w:tc>
          <w:tcPr>
            <w:tcW w:w="23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p>
        </w:tc>
      </w:tr>
    </w:tbl>
    <w:p>
      <w:pPr>
        <w:spacing w:line="620" w:lineRule="exact"/>
        <w:ind w:firstLine="646" w:firstLineChars="200"/>
      </w:pPr>
    </w:p>
    <w:p>
      <w:pPr>
        <w:spacing w:line="620" w:lineRule="exact"/>
        <w:ind w:firstLine="646" w:firstLineChars="200"/>
        <w:rPr>
          <w:rFonts w:hint="eastAsia"/>
          <w:b/>
        </w:rPr>
      </w:pPr>
      <w:r>
        <w:rPr>
          <w:rFonts w:hint="eastAsia"/>
          <w:b/>
        </w:rPr>
        <w:t>2.</w:t>
      </w:r>
      <w:r>
        <w:rPr>
          <w:b/>
        </w:rPr>
        <w:t xml:space="preserve"> </w:t>
      </w:r>
      <w:r>
        <w:rPr>
          <w:rFonts w:hint="eastAsia"/>
          <w:b/>
        </w:rPr>
        <w:t>部门绩效评价结果。</w:t>
      </w:r>
    </w:p>
    <w:p>
      <w:pPr>
        <w:spacing w:line="620" w:lineRule="exact"/>
        <w:ind w:firstLine="646" w:firstLineChars="200"/>
        <w:rPr>
          <w:rFonts w:hint="eastAsia"/>
        </w:rPr>
      </w:pPr>
      <w:r>
        <w:rPr>
          <w:rFonts w:hint="eastAsia"/>
        </w:rPr>
        <w:t>本部门按要求对2020年部门整体支出绩效评价情况开展自评，《遂宁市政府投资评审中心2020年部门整体支出绩效评价报告》见附件（附件1）。</w:t>
      </w:r>
    </w:p>
    <w:p>
      <w:pPr>
        <w:spacing w:line="620" w:lineRule="exact"/>
        <w:ind w:firstLine="646" w:firstLineChars="200"/>
      </w:pPr>
      <w:r>
        <w:rPr>
          <w:rFonts w:hint="eastAsia"/>
        </w:rPr>
        <w:t>本部门自行组织对购买评审辅助服务项目、信息化建设及运维项目、设备购置项目开展了绩效评价，《项目支出2020年绩效评价报告》见附件（附件2）。</w:t>
      </w:r>
    </w:p>
    <w:p>
      <w:pPr>
        <w:spacing w:line="620" w:lineRule="exact"/>
        <w:ind w:firstLine="646" w:firstLineChars="200"/>
        <w:rPr>
          <w:rFonts w:hint="eastAsia"/>
        </w:rPr>
      </w:pPr>
    </w:p>
    <w:p>
      <w:pPr>
        <w:spacing w:line="620" w:lineRule="exact"/>
        <w:ind w:firstLine="646" w:firstLineChars="200"/>
      </w:pPr>
      <w:r>
        <w:br w:type="page"/>
      </w:r>
    </w:p>
    <w:p>
      <w:pPr>
        <w:pStyle w:val="2"/>
        <w:keepNext w:val="0"/>
        <w:keepLines w:val="0"/>
        <w:overflowPunct w:val="0"/>
        <w:topLinePunct/>
        <w:spacing w:before="0" w:after="0" w:line="620" w:lineRule="exact"/>
        <w:jc w:val="center"/>
        <w:rPr>
          <w:rFonts w:hint="eastAsia" w:ascii="方正小标宋简体" w:hAnsi="黑体" w:eastAsia="方正小标宋简体"/>
          <w:b w:val="0"/>
        </w:rPr>
      </w:pPr>
      <w:bookmarkStart w:id="17" w:name="_Toc80262648"/>
      <w:r>
        <w:rPr>
          <w:rFonts w:hint="eastAsia" w:ascii="方正小标宋简体" w:hAnsi="黑体" w:eastAsia="方正小标宋简体"/>
          <w:b w:val="0"/>
        </w:rPr>
        <w:t>第三部分</w:t>
      </w:r>
      <w:r>
        <w:rPr>
          <w:rFonts w:ascii="方正小标宋简体" w:hAnsi="黑体" w:eastAsia="方正小标宋简体"/>
          <w:b w:val="0"/>
        </w:rPr>
        <w:t xml:space="preserve"> </w:t>
      </w:r>
      <w:r>
        <w:rPr>
          <w:rFonts w:hint="eastAsia" w:ascii="方正小标宋简体" w:hAnsi="黑体" w:eastAsia="方正小标宋简体"/>
          <w:b w:val="0"/>
        </w:rPr>
        <w:t>名词解释</w:t>
      </w:r>
      <w:bookmarkEnd w:id="17"/>
    </w:p>
    <w:p>
      <w:pPr>
        <w:spacing w:line="620" w:lineRule="exact"/>
        <w:ind w:firstLine="646" w:firstLineChars="200"/>
      </w:pPr>
    </w:p>
    <w:p>
      <w:pPr>
        <w:spacing w:line="620" w:lineRule="exact"/>
        <w:ind w:firstLine="646" w:firstLineChars="200"/>
        <w:rPr>
          <w:rFonts w:hint="eastAsia"/>
        </w:rPr>
      </w:pPr>
      <w:r>
        <w:rPr>
          <w:rFonts w:hint="eastAsia"/>
        </w:rPr>
        <w:t>1. 一般公共预算拨款收入：指市本级财政当年拨付的资金。</w:t>
      </w:r>
    </w:p>
    <w:p>
      <w:pPr>
        <w:spacing w:line="620" w:lineRule="exact"/>
        <w:ind w:firstLine="646" w:firstLineChars="200"/>
        <w:rPr>
          <w:rFonts w:hint="eastAsia"/>
        </w:rPr>
      </w:pPr>
      <w:r>
        <w:rPr>
          <w:rFonts w:hint="eastAsia"/>
        </w:rPr>
        <w:t>2. 上年结转：指以前年度尚未完成，结转到本年仍按原规定用途继续使用的资金。</w:t>
      </w:r>
    </w:p>
    <w:p>
      <w:pPr>
        <w:spacing w:line="620" w:lineRule="exact"/>
        <w:ind w:firstLine="646" w:firstLineChars="200"/>
        <w:rPr>
          <w:rFonts w:hint="eastAsia"/>
        </w:rPr>
      </w:pPr>
      <w:r>
        <w:rPr>
          <w:rFonts w:hint="eastAsia"/>
        </w:rPr>
        <w:t>3. 基本支出：指为保证机构正常运转，完成日常工作任务而发生的人员支出和公用支出。</w:t>
      </w:r>
    </w:p>
    <w:p>
      <w:pPr>
        <w:spacing w:line="620" w:lineRule="exact"/>
        <w:ind w:firstLine="646" w:firstLineChars="200"/>
        <w:rPr>
          <w:rFonts w:hint="eastAsia"/>
        </w:rPr>
      </w:pPr>
      <w:r>
        <w:rPr>
          <w:rFonts w:hint="eastAsia"/>
        </w:rPr>
        <w:t>4. 项目支出：指在基本支出之外为完成特定行政任务和事业发展目标所发生的支出。</w:t>
      </w:r>
    </w:p>
    <w:p>
      <w:pPr>
        <w:spacing w:line="620" w:lineRule="exact"/>
        <w:ind w:firstLine="646" w:firstLineChars="200"/>
        <w:rPr>
          <w:rFonts w:hint="eastAsia"/>
        </w:rPr>
      </w:pPr>
      <w:r>
        <w:rPr>
          <w:rFonts w:hint="eastAsia"/>
        </w:rPr>
        <w:t>5.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spacing w:line="620" w:lineRule="exact"/>
        <w:ind w:firstLine="646" w:firstLineChars="200"/>
        <w:rPr>
          <w:rFonts w:hint="eastAsia"/>
        </w:rPr>
      </w:pPr>
      <w:r>
        <w:rPr>
          <w:rFonts w:hint="eastAsia"/>
        </w:rPr>
        <w:t>6. 一般公共服务支出（类）财政事务（款）行政运行（项）反映财政事务方面，行政单位（包括实行公务员管理的事业单位）的基本支出。</w:t>
      </w:r>
    </w:p>
    <w:p>
      <w:pPr>
        <w:spacing w:line="620" w:lineRule="exact"/>
        <w:ind w:firstLine="646" w:firstLineChars="200"/>
        <w:rPr>
          <w:rFonts w:hint="eastAsia"/>
        </w:rPr>
      </w:pPr>
      <w:r>
        <w:rPr>
          <w:rFonts w:hint="eastAsia"/>
        </w:rPr>
        <w:t>7. 一般公共服务支出（类）财政事务（款）一般行政管理事务（项）反映财政事务方面，行政单位（包括实行公务员管理的事业单位）未单独设置项级科目的其他项目支出。</w:t>
      </w:r>
    </w:p>
    <w:p>
      <w:pPr>
        <w:spacing w:line="620" w:lineRule="exact"/>
        <w:ind w:firstLine="646" w:firstLineChars="200"/>
        <w:rPr>
          <w:rFonts w:hint="eastAsia"/>
        </w:rPr>
      </w:pPr>
      <w:r>
        <w:rPr>
          <w:rFonts w:hint="eastAsia"/>
        </w:rPr>
        <w:t>8. 一般公共服务支出（类）财政事务（款）财政监察（项）反映财政监察派出机构的专项业务支出。</w:t>
      </w:r>
    </w:p>
    <w:p>
      <w:pPr>
        <w:spacing w:line="620" w:lineRule="exact"/>
        <w:ind w:firstLine="646" w:firstLineChars="200"/>
        <w:rPr>
          <w:rFonts w:hint="eastAsia"/>
        </w:rPr>
      </w:pPr>
      <w:r>
        <w:rPr>
          <w:rFonts w:hint="eastAsia"/>
        </w:rPr>
        <w:t>9. 一般公共服务支出（类）财政事务（款）信息化建设（项）反映财政部门用于信息化建设方面的支出。</w:t>
      </w:r>
    </w:p>
    <w:p>
      <w:pPr>
        <w:spacing w:line="620" w:lineRule="exact"/>
        <w:ind w:firstLine="646" w:firstLineChars="200"/>
        <w:rPr>
          <w:rFonts w:hint="eastAsia"/>
        </w:rPr>
      </w:pPr>
      <w:r>
        <w:rPr>
          <w:rFonts w:hint="eastAsia"/>
        </w:rPr>
        <w:t>10. 一般公共服务支出（类）财政事务（款）财政委托业务支出（项）反映财政委托评审机构进行财政投资评审和委托建设银行等机构代理业务发生的支出。</w:t>
      </w:r>
    </w:p>
    <w:p>
      <w:pPr>
        <w:spacing w:line="620" w:lineRule="exact"/>
        <w:ind w:firstLine="646" w:firstLineChars="200"/>
        <w:rPr>
          <w:rFonts w:hint="eastAsia"/>
        </w:rPr>
      </w:pPr>
      <w:r>
        <w:rPr>
          <w:rFonts w:hint="eastAsia"/>
        </w:rPr>
        <w:t>11. 一般公共服务支出（类）财政事务（款）事业运行（项）反映事业单位的基本支出，不包括行政单位（包括实行公务员管理的事业单位）后勤服务中心、医务室等附属事业单位。</w:t>
      </w:r>
    </w:p>
    <w:p>
      <w:pPr>
        <w:spacing w:line="620" w:lineRule="exact"/>
        <w:ind w:firstLine="646" w:firstLineChars="200"/>
        <w:rPr>
          <w:rFonts w:hint="eastAsia"/>
        </w:rPr>
      </w:pPr>
      <w:r>
        <w:rPr>
          <w:rFonts w:hint="eastAsia"/>
        </w:rPr>
        <w:t>12. 社会保障和就业支出（类）行政事业单位养老支出（款）行政单位离退休（项）反映行政单位（包括实行公务员管理的事业单位）开支的离退休经费。</w:t>
      </w:r>
    </w:p>
    <w:p>
      <w:pPr>
        <w:spacing w:line="620" w:lineRule="exact"/>
        <w:ind w:firstLine="646" w:firstLineChars="200"/>
        <w:rPr>
          <w:rFonts w:hint="eastAsia"/>
        </w:rPr>
      </w:pPr>
      <w:r>
        <w:rPr>
          <w:rFonts w:hint="eastAsia"/>
        </w:rPr>
        <w:t>13. 社会保障和就业支出（类）行政事业单位养老支出（款）事业单位离退休（项）反映事业单位开支的离退休经费。</w:t>
      </w:r>
    </w:p>
    <w:p>
      <w:pPr>
        <w:spacing w:line="620" w:lineRule="exact"/>
        <w:ind w:firstLine="646" w:firstLineChars="200"/>
        <w:rPr>
          <w:rFonts w:hint="eastAsia"/>
        </w:rPr>
      </w:pPr>
      <w:r>
        <w:rPr>
          <w:rFonts w:hint="eastAsia"/>
        </w:rPr>
        <w:t>14. 社会保障和就业支出（类）行政事业单位养老支出（款）机关事业单位基本养老保险缴费支出（项）反映机关事业单位实施养老保险制度由单位缴纳的基本养老保险缴费支出。</w:t>
      </w:r>
    </w:p>
    <w:p>
      <w:pPr>
        <w:spacing w:line="620" w:lineRule="exact"/>
        <w:ind w:firstLine="646" w:firstLineChars="200"/>
        <w:rPr>
          <w:rFonts w:hint="eastAsia"/>
        </w:rPr>
      </w:pPr>
      <w:r>
        <w:rPr>
          <w:rFonts w:hint="eastAsia"/>
        </w:rPr>
        <w:t>15. 社会保障和就业支出（类）抚恤（款）死</w:t>
      </w:r>
      <w:r>
        <w:rPr>
          <w:rFonts w:hint="eastAsia"/>
          <w:lang w:eastAsia="zh-CN"/>
        </w:rPr>
        <w:t>亡</w:t>
      </w:r>
      <w:bookmarkStart w:id="38" w:name="_GoBack"/>
      <w:bookmarkEnd w:id="38"/>
      <w:r>
        <w:rPr>
          <w:rFonts w:hint="eastAsia"/>
        </w:rPr>
        <w:t>抚恤（项）反映按规定用于烈士和牺牲、病故人员家属的一次性和定期抚恤金以及丧葬补助。</w:t>
      </w:r>
    </w:p>
    <w:p>
      <w:pPr>
        <w:spacing w:line="620" w:lineRule="exact"/>
        <w:ind w:firstLine="646" w:firstLineChars="200"/>
        <w:rPr>
          <w:rFonts w:hint="eastAsia"/>
        </w:rPr>
      </w:pPr>
      <w:r>
        <w:rPr>
          <w:rFonts w:hint="eastAsia"/>
        </w:rPr>
        <w:t>16. 卫生健康支出（类）行政事业单位医疗（款）行政单位医疗（项）反映财政部门安排的行政单位（包括实行公务员管理的事业单位）基本医疗保险缴费经费，未参加医疗保险的行政单位的公费医疗经费，按国家规定享受的离休人员、红军老战士待遇人员的医疗经费。</w:t>
      </w:r>
    </w:p>
    <w:p>
      <w:pPr>
        <w:spacing w:line="620" w:lineRule="exact"/>
        <w:ind w:firstLine="646" w:firstLineChars="200"/>
        <w:rPr>
          <w:rFonts w:hint="eastAsia"/>
        </w:rPr>
      </w:pPr>
      <w:r>
        <w:rPr>
          <w:rFonts w:hint="eastAsia"/>
        </w:rPr>
        <w:t>17. 卫生健康支出（类）（类）行政事业单位医疗（款）事业单位医疗（项）反映财政部门安排的事业单位基本医疗保险缴费经费，未参加医疗保险的事业单位的公费医疗经费，按国家规定享受离休人员待遇的医疗经费。</w:t>
      </w:r>
    </w:p>
    <w:p>
      <w:pPr>
        <w:spacing w:line="620" w:lineRule="exact"/>
        <w:ind w:firstLine="646" w:firstLineChars="200"/>
        <w:rPr>
          <w:rFonts w:hint="eastAsia"/>
        </w:rPr>
      </w:pPr>
      <w:r>
        <w:rPr>
          <w:rFonts w:hint="eastAsia"/>
        </w:rPr>
        <w:t>18. 住房保障支出（类）住房改革支出（款）住房公积金（项）反映行政事业单位按人力资源和社会保障部、财政部规定的基本工资和津贴补贴以及规定比例为职工缴纳的住房公积金。</w:t>
      </w:r>
    </w:p>
    <w:p>
      <w:pPr>
        <w:spacing w:line="620" w:lineRule="exact"/>
        <w:ind w:firstLine="646" w:firstLineChars="200"/>
        <w:rPr>
          <w:b/>
        </w:rPr>
      </w:pPr>
      <w:r>
        <w:rPr>
          <w:rFonts w:hint="eastAsia"/>
          <w:b/>
        </w:rPr>
        <w:t>（名词解释部分请根据各部门实际列支情况罗列，并根据本部门职责职能增减名词解释内容。）</w:t>
      </w:r>
    </w:p>
    <w:p>
      <w:pPr>
        <w:spacing w:line="620" w:lineRule="exact"/>
        <w:ind w:firstLine="646" w:firstLineChars="200"/>
      </w:pPr>
    </w:p>
    <w:p>
      <w:pPr>
        <w:spacing w:line="620" w:lineRule="exact"/>
        <w:ind w:firstLine="646" w:firstLineChars="200"/>
      </w:pPr>
      <w:r>
        <w:br w:type="page"/>
      </w:r>
    </w:p>
    <w:p>
      <w:pPr>
        <w:spacing w:line="620" w:lineRule="exact"/>
        <w:ind w:firstLine="646" w:firstLineChars="200"/>
      </w:pPr>
    </w:p>
    <w:p>
      <w:pPr>
        <w:spacing w:line="620" w:lineRule="exact"/>
        <w:ind w:firstLine="646" w:firstLineChars="200"/>
      </w:pPr>
    </w:p>
    <w:p>
      <w:pPr>
        <w:spacing w:line="620" w:lineRule="exact"/>
        <w:ind w:firstLine="646" w:firstLineChars="200"/>
      </w:pPr>
    </w:p>
    <w:p>
      <w:pPr>
        <w:spacing w:line="620" w:lineRule="exact"/>
        <w:ind w:firstLine="646" w:firstLineChars="200"/>
        <w:rPr>
          <w:rFonts w:hint="eastAsia"/>
        </w:rPr>
      </w:pPr>
    </w:p>
    <w:p>
      <w:pPr>
        <w:spacing w:line="620" w:lineRule="exact"/>
        <w:ind w:firstLine="646" w:firstLineChars="200"/>
      </w:pPr>
    </w:p>
    <w:p>
      <w:pPr>
        <w:spacing w:line="620" w:lineRule="exact"/>
        <w:ind w:firstLine="646" w:firstLineChars="200"/>
      </w:pPr>
    </w:p>
    <w:p>
      <w:pPr>
        <w:spacing w:line="620" w:lineRule="exact"/>
        <w:ind w:firstLine="646" w:firstLineChars="200"/>
      </w:pPr>
    </w:p>
    <w:p>
      <w:pPr>
        <w:spacing w:line="620" w:lineRule="exact"/>
        <w:ind w:firstLine="646" w:firstLineChars="200"/>
      </w:pPr>
    </w:p>
    <w:p>
      <w:pPr>
        <w:spacing w:line="620" w:lineRule="exact"/>
        <w:ind w:firstLine="646" w:firstLineChars="200"/>
        <w:rPr>
          <w:rFonts w:hint="eastAsia"/>
        </w:rPr>
      </w:pPr>
    </w:p>
    <w:p>
      <w:pPr>
        <w:pStyle w:val="2"/>
        <w:keepNext w:val="0"/>
        <w:keepLines w:val="0"/>
        <w:overflowPunct w:val="0"/>
        <w:topLinePunct/>
        <w:spacing w:before="0" w:after="0" w:line="620" w:lineRule="exact"/>
        <w:jc w:val="center"/>
        <w:rPr>
          <w:rFonts w:hint="eastAsia" w:ascii="方正小标宋简体" w:hAnsi="黑体" w:eastAsia="方正小标宋简体"/>
          <w:b w:val="0"/>
        </w:rPr>
      </w:pPr>
      <w:bookmarkStart w:id="18" w:name="_Toc80262649"/>
      <w:r>
        <w:rPr>
          <w:rFonts w:hint="eastAsia" w:ascii="方正小标宋简体" w:hAnsi="黑体" w:eastAsia="方正小标宋简体"/>
          <w:b w:val="0"/>
        </w:rPr>
        <w:t>第四部分 附件</w:t>
      </w:r>
      <w:bookmarkEnd w:id="18"/>
    </w:p>
    <w:p>
      <w:pPr>
        <w:pStyle w:val="3"/>
        <w:keepNext w:val="0"/>
        <w:keepLines w:val="0"/>
        <w:overflowPunct w:val="0"/>
        <w:topLinePunct/>
        <w:spacing w:before="0" w:after="0" w:line="620" w:lineRule="exact"/>
        <w:rPr>
          <w:rFonts w:hint="eastAsia" w:ascii="黑体" w:hAnsi="黑体" w:eastAsia="黑体"/>
          <w:b w:val="0"/>
          <w:color w:val="000000"/>
        </w:rPr>
      </w:pPr>
      <w:r>
        <w:br w:type="page"/>
      </w:r>
      <w:bookmarkStart w:id="19" w:name="_Toc80262650"/>
      <w:r>
        <w:rPr>
          <w:rFonts w:hint="eastAsia" w:ascii="黑体" w:hAnsi="黑体" w:eastAsia="黑体"/>
          <w:b w:val="0"/>
          <w:color w:val="000000"/>
        </w:rPr>
        <w:t>附件1</w:t>
      </w:r>
      <w:bookmarkEnd w:id="19"/>
    </w:p>
    <w:p>
      <w:pPr>
        <w:spacing w:line="620" w:lineRule="exact"/>
      </w:pP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遂宁市政府投资评审中心2020年整体支出</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绩效评价自评报告</w:t>
      </w:r>
    </w:p>
    <w:p>
      <w:pPr>
        <w:spacing w:line="530" w:lineRule="exact"/>
        <w:ind w:firstLine="646" w:firstLineChars="200"/>
      </w:pPr>
    </w:p>
    <w:p>
      <w:pPr>
        <w:spacing w:line="530" w:lineRule="exact"/>
        <w:ind w:firstLine="646" w:firstLineChars="200"/>
        <w:rPr>
          <w:rFonts w:hint="eastAsia" w:ascii="黑体" w:hAnsi="黑体" w:eastAsia="黑体"/>
        </w:rPr>
      </w:pPr>
      <w:r>
        <w:rPr>
          <w:rFonts w:hint="eastAsia" w:ascii="黑体" w:hAnsi="黑体" w:eastAsia="黑体"/>
        </w:rPr>
        <w:t>一、单位概况</w:t>
      </w:r>
    </w:p>
    <w:p>
      <w:pPr>
        <w:spacing w:line="530" w:lineRule="exact"/>
        <w:ind w:firstLine="646" w:firstLineChars="200"/>
        <w:rPr>
          <w:rFonts w:hint="eastAsia"/>
        </w:rPr>
      </w:pPr>
      <w:r>
        <w:rPr>
          <w:rFonts w:hint="eastAsia" w:ascii="楷体_GB2312" w:eastAsia="楷体_GB2312"/>
        </w:rPr>
        <w:t>（一）机构组成。</w:t>
      </w:r>
      <w:r>
        <w:rPr>
          <w:rFonts w:hint="eastAsia"/>
        </w:rPr>
        <w:t>遂宁市财政投资评审中心成立于2002年，单位性质为自收自支事业单位，核定人员编制3名。随着评审业务的不断增长，2008年核增人员编制2名，配备科级领导干部1名；2019年10月更名为遂宁市政府投资评审中心，单位性质改为财政全额拨款事业单位，核定人员编制7名，配备正、副科领导干部各1名。</w:t>
      </w:r>
    </w:p>
    <w:p>
      <w:pPr>
        <w:spacing w:line="530" w:lineRule="exact"/>
        <w:ind w:firstLine="646" w:firstLineChars="200"/>
        <w:rPr>
          <w:rFonts w:hint="eastAsia"/>
        </w:rPr>
      </w:pPr>
      <w:r>
        <w:rPr>
          <w:rFonts w:hint="eastAsia" w:ascii="楷体_GB2312" w:eastAsia="楷体_GB2312"/>
        </w:rPr>
        <w:t>（二）机构职能。</w:t>
      </w:r>
      <w:r>
        <w:rPr>
          <w:rFonts w:hint="eastAsia"/>
        </w:rPr>
        <w:t>根据《遂宁市人民政府关于印发〈遂宁市财政投资评审管理暂行办法〉的通知》（遂府函〔2007〕33号）及财政局机关《管理制度汇编》，中心职能职责为：</w:t>
      </w:r>
    </w:p>
    <w:p>
      <w:pPr>
        <w:spacing w:line="530" w:lineRule="exact"/>
        <w:ind w:firstLine="646" w:firstLineChars="200"/>
        <w:rPr>
          <w:rFonts w:hint="eastAsia"/>
        </w:rPr>
      </w:pPr>
      <w:r>
        <w:rPr>
          <w:rFonts w:hint="eastAsia"/>
        </w:rPr>
        <w:t>1．负责本级部门项目支出预算的专业审核工作，按照部门预算编制的要求，提出项目支出预算审核意见；</w:t>
      </w:r>
    </w:p>
    <w:p>
      <w:pPr>
        <w:spacing w:line="530" w:lineRule="exact"/>
        <w:ind w:firstLine="646" w:firstLineChars="200"/>
        <w:rPr>
          <w:rFonts w:hint="eastAsia"/>
        </w:rPr>
      </w:pPr>
      <w:r>
        <w:rPr>
          <w:rFonts w:hint="eastAsia"/>
        </w:rPr>
        <w:t>2．负责本级重大基本建设项目财政监管和资金拨付的专业审核工作，审查工程变更，提出项目资金拨付审核意见；</w:t>
      </w:r>
    </w:p>
    <w:p>
      <w:pPr>
        <w:spacing w:line="530" w:lineRule="exact"/>
        <w:ind w:firstLine="646" w:firstLineChars="200"/>
        <w:rPr>
          <w:rFonts w:hint="eastAsia"/>
        </w:rPr>
      </w:pPr>
      <w:r>
        <w:rPr>
          <w:rFonts w:hint="eastAsia"/>
        </w:rPr>
        <w:t>3．负责本级基本建设项目竣工决算的专业审核工作，提出交付使用资产价值意见；</w:t>
      </w:r>
    </w:p>
    <w:p>
      <w:pPr>
        <w:spacing w:line="530" w:lineRule="exact"/>
        <w:ind w:firstLine="646" w:firstLineChars="200"/>
        <w:rPr>
          <w:rFonts w:hint="eastAsia"/>
        </w:rPr>
      </w:pPr>
      <w:r>
        <w:rPr>
          <w:rFonts w:hint="eastAsia"/>
        </w:rPr>
        <w:t>4．负责本级财政支出预算绩效考评的专业评价工作，提出预算执行绩效意见；</w:t>
      </w:r>
    </w:p>
    <w:p>
      <w:pPr>
        <w:spacing w:line="530" w:lineRule="exact"/>
        <w:ind w:firstLine="646" w:firstLineChars="200"/>
        <w:rPr>
          <w:rFonts w:hint="eastAsia"/>
        </w:rPr>
      </w:pPr>
      <w:r>
        <w:rPr>
          <w:rFonts w:hint="eastAsia"/>
        </w:rPr>
        <w:t>5．配合本级财政部门做好资金专项核查及追踪问效工作等。</w:t>
      </w:r>
    </w:p>
    <w:p>
      <w:pPr>
        <w:spacing w:line="530" w:lineRule="exact"/>
        <w:ind w:firstLine="646" w:firstLineChars="200"/>
        <w:rPr>
          <w:rFonts w:hint="eastAsia"/>
        </w:rPr>
      </w:pPr>
      <w:r>
        <w:rPr>
          <w:rFonts w:hint="eastAsia" w:ascii="楷体_GB2312" w:eastAsia="楷体_GB2312"/>
        </w:rPr>
        <w:t>（三）人员概况。</w:t>
      </w:r>
      <w:r>
        <w:rPr>
          <w:rFonts w:hint="eastAsia"/>
        </w:rPr>
        <w:t>目前，中心现有工作人员11人，其中在职在编3人、聘用人员8人。中心下设项目部（人员配置7人，其中工程类专业技术人员5人、财务类专业技术人员2人）、稽核部（人员配置2人，含交叉配置1人）、办公室（人员配置2人）三个部门，分别负责项目评审、复核和日常办公运作等事务。</w:t>
      </w:r>
    </w:p>
    <w:p>
      <w:pPr>
        <w:spacing w:line="530" w:lineRule="exact"/>
        <w:ind w:firstLine="646" w:firstLineChars="200"/>
        <w:rPr>
          <w:rFonts w:hint="eastAsia" w:ascii="黑体" w:hAnsi="黑体" w:eastAsia="黑体"/>
        </w:rPr>
      </w:pPr>
      <w:r>
        <w:rPr>
          <w:rFonts w:hint="eastAsia" w:ascii="黑体" w:hAnsi="黑体" w:eastAsia="黑体"/>
        </w:rPr>
        <w:t>二、财政资金收支情况</w:t>
      </w:r>
    </w:p>
    <w:p>
      <w:pPr>
        <w:spacing w:line="530" w:lineRule="exact"/>
        <w:ind w:firstLine="646" w:firstLineChars="200"/>
        <w:rPr>
          <w:rFonts w:hint="eastAsia" w:ascii="楷体_GB2312" w:eastAsia="楷体_GB2312"/>
        </w:rPr>
      </w:pPr>
      <w:r>
        <w:rPr>
          <w:rFonts w:hint="eastAsia" w:ascii="楷体_GB2312" w:eastAsia="楷体_GB2312"/>
        </w:rPr>
        <w:t>（一）财政资金收入情况。</w:t>
      </w:r>
    </w:p>
    <w:p>
      <w:pPr>
        <w:spacing w:line="530" w:lineRule="exact"/>
        <w:ind w:firstLine="646" w:firstLineChars="200"/>
        <w:rPr>
          <w:rFonts w:hint="eastAsia"/>
        </w:rPr>
      </w:pPr>
      <w:r>
        <w:rPr>
          <w:rFonts w:hint="eastAsia"/>
        </w:rPr>
        <w:t>《遂宁市财政局关于批复下属单位2020年部门预算的通知》（遂财办〔2020〕15号）批复我中心“一般公共预算拨款收入”477.22万元。</w:t>
      </w:r>
    </w:p>
    <w:p>
      <w:pPr>
        <w:spacing w:line="530" w:lineRule="exact"/>
        <w:ind w:firstLine="646" w:firstLineChars="200"/>
        <w:rPr>
          <w:rFonts w:hint="eastAsia" w:ascii="楷体_GB2312" w:eastAsia="楷体_GB2312"/>
        </w:rPr>
      </w:pPr>
      <w:r>
        <w:rPr>
          <w:rFonts w:hint="eastAsia" w:ascii="楷体_GB2312" w:eastAsia="楷体_GB2312"/>
        </w:rPr>
        <w:t>（二）财政资金支出情况。</w:t>
      </w:r>
    </w:p>
    <w:p>
      <w:pPr>
        <w:spacing w:line="530" w:lineRule="exact"/>
        <w:ind w:firstLine="646" w:firstLineChars="200"/>
      </w:pPr>
      <w:r>
        <w:rPr>
          <w:rFonts w:hint="eastAsia"/>
        </w:rPr>
        <w:t>我中心2020年决算支出449.99万元，占批准总预算94.29%。预算收支执行情况详见下表。</w:t>
      </w:r>
    </w:p>
    <w:p>
      <w:pPr>
        <w:spacing w:line="530" w:lineRule="exact"/>
        <w:jc w:val="center"/>
        <w:rPr>
          <w:rFonts w:hint="eastAsia" w:ascii="黑体" w:hAnsi="黑体" w:eastAsia="黑体"/>
        </w:rPr>
      </w:pPr>
      <w:r>
        <w:rPr>
          <w:rFonts w:hint="eastAsia" w:ascii="黑体" w:hAnsi="黑体" w:eastAsia="黑体"/>
        </w:rPr>
        <w:t>预算收支执行情况表</w:t>
      </w:r>
    </w:p>
    <w:p>
      <w:pPr>
        <w:spacing w:line="530" w:lineRule="exact"/>
        <w:jc w:val="right"/>
      </w:pPr>
      <w:r>
        <w:rPr>
          <w:rFonts w:hint="eastAsia"/>
        </w:rPr>
        <w:t>单位：元</w:t>
      </w:r>
    </w:p>
    <w:tbl>
      <w:tblPr>
        <w:tblStyle w:val="10"/>
        <w:tblW w:w="9187" w:type="dxa"/>
        <w:jc w:val="center"/>
        <w:tblLayout w:type="fixed"/>
        <w:tblCellMar>
          <w:top w:w="0" w:type="dxa"/>
          <w:left w:w="108" w:type="dxa"/>
          <w:bottom w:w="0" w:type="dxa"/>
          <w:right w:w="108" w:type="dxa"/>
        </w:tblCellMar>
      </w:tblPr>
      <w:tblGrid>
        <w:gridCol w:w="1734"/>
        <w:gridCol w:w="2590"/>
        <w:gridCol w:w="1692"/>
        <w:gridCol w:w="1515"/>
        <w:gridCol w:w="1656"/>
      </w:tblGrid>
      <w:tr>
        <w:trPr>
          <w:wBefore w:w="0" w:type="dxa"/>
          <w:wAfter w:w="0" w:type="dxa"/>
          <w:trHeight w:val="270" w:hRule="atLeast"/>
          <w:jc w:val="center"/>
        </w:trPr>
        <w:tc>
          <w:tcPr>
            <w:tcW w:w="43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经济分类</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申报数</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预算数</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执行数</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基本支出</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工资福利支出</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321200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321200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523102.59</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对个人和家庭补助</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1200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1200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4350</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公用经费支出</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214400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214400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91605.48</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1.办公费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4500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4500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4460</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2.水电费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10500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10500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12128.9</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3.邮电费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3600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3600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2416.35</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4.物业管理费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72000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72000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26589.23</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5.差旅费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33500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33500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10840</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6.维修（护）费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20000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20000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12210</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7.会议费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10000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10000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0</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8.培训费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33200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33200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0</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9公务接待费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6000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6000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1050</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10.工会经费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6300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6300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9378</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11.福利费</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6400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6400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9200</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12.其他</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8400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8400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3333</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小计</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536800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536800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619058.07</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项目支出</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购买评审辅助服务</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4165400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4165400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3850888.28</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设备购置</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40000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40000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0</w:t>
            </w:r>
          </w:p>
        </w:tc>
      </w:tr>
      <w:tr>
        <w:tblPrEx>
          <w:tblCellMar>
            <w:top w:w="0" w:type="dxa"/>
            <w:left w:w="108" w:type="dxa"/>
            <w:bottom w:w="0" w:type="dxa"/>
            <w:right w:w="108" w:type="dxa"/>
          </w:tblCellMar>
        </w:tblPrEx>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信息化建设及运维</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30000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30000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30000</w:t>
            </w:r>
          </w:p>
        </w:tc>
      </w:tr>
      <w:tr>
        <w:trPr>
          <w:wBefore w:w="0" w:type="dxa"/>
          <w:wAfter w:w="0" w:type="dxa"/>
          <w:trHeight w:val="27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小计</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4235400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4235400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3880888.28</w:t>
            </w:r>
          </w:p>
        </w:tc>
      </w:tr>
      <w:tr>
        <w:tblPrEx>
          <w:tblCellMar>
            <w:top w:w="0" w:type="dxa"/>
            <w:left w:w="108" w:type="dxa"/>
            <w:bottom w:w="0" w:type="dxa"/>
            <w:right w:w="108" w:type="dxa"/>
          </w:tblCellMar>
        </w:tblPrEx>
        <w:trPr>
          <w:wBefore w:w="0" w:type="dxa"/>
          <w:wAfter w:w="0" w:type="dxa"/>
          <w:trHeight w:val="251" w:hRule="atLeast"/>
          <w:jc w:val="center"/>
        </w:trPr>
        <w:tc>
          <w:tcPr>
            <w:tcW w:w="43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合计</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right"/>
              <w:textAlignment w:val="center"/>
              <w:rPr>
                <w:rFonts w:hint="eastAsia" w:ascii="宋体" w:hAnsi="宋体" w:eastAsia="宋体" w:cs="宋体"/>
                <w:color w:val="000000"/>
                <w:sz w:val="22"/>
              </w:rPr>
            </w:pPr>
            <w:r>
              <w:rPr>
                <w:rFonts w:hint="eastAsia" w:ascii="宋体" w:hAnsi="宋体" w:eastAsia="宋体" w:cs="宋体"/>
                <w:color w:val="000000"/>
                <w:sz w:val="22"/>
              </w:rPr>
              <w:t>4772200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right"/>
              <w:textAlignment w:val="center"/>
              <w:rPr>
                <w:rFonts w:hint="eastAsia" w:ascii="宋体" w:hAnsi="宋体" w:eastAsia="宋体" w:cs="宋体"/>
                <w:color w:val="000000"/>
                <w:sz w:val="22"/>
              </w:rPr>
            </w:pPr>
            <w:r>
              <w:rPr>
                <w:rFonts w:hint="eastAsia" w:ascii="宋体" w:hAnsi="宋体" w:eastAsia="宋体" w:cs="宋体"/>
                <w:color w:val="000000"/>
                <w:sz w:val="22"/>
              </w:rPr>
              <w:t>4772200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right"/>
              <w:textAlignment w:val="center"/>
              <w:rPr>
                <w:rFonts w:hint="eastAsia" w:ascii="宋体" w:hAnsi="宋体" w:eastAsia="宋体" w:cs="宋体"/>
                <w:color w:val="000000"/>
                <w:sz w:val="22"/>
              </w:rPr>
            </w:pPr>
            <w:r>
              <w:rPr>
                <w:rFonts w:hint="eastAsia" w:ascii="宋体" w:hAnsi="宋体" w:eastAsia="宋体" w:cs="宋体"/>
                <w:color w:val="000000"/>
                <w:sz w:val="22"/>
              </w:rPr>
              <w:t>4499946.35</w:t>
            </w:r>
          </w:p>
        </w:tc>
      </w:tr>
    </w:tbl>
    <w:p>
      <w:pPr>
        <w:spacing w:line="530" w:lineRule="exact"/>
        <w:ind w:firstLine="646" w:firstLineChars="200"/>
        <w:rPr>
          <w:rFonts w:hint="eastAsia" w:ascii="黑体" w:hAnsi="黑体" w:eastAsia="黑体"/>
        </w:rPr>
      </w:pPr>
      <w:r>
        <w:rPr>
          <w:rFonts w:hint="eastAsia" w:ascii="黑体" w:hAnsi="黑体" w:eastAsia="黑体"/>
        </w:rPr>
        <w:t>三、整体预算绩效管理情况</w:t>
      </w:r>
    </w:p>
    <w:p>
      <w:pPr>
        <w:spacing w:line="530" w:lineRule="exact"/>
        <w:ind w:firstLine="646" w:firstLineChars="200"/>
        <w:rPr>
          <w:rFonts w:hint="eastAsia" w:ascii="楷体_GB2312" w:eastAsia="楷体_GB2312"/>
        </w:rPr>
      </w:pPr>
      <w:r>
        <w:rPr>
          <w:rFonts w:hint="eastAsia" w:ascii="楷体_GB2312" w:eastAsia="楷体_GB2312"/>
        </w:rPr>
        <w:t>（一）部门预算管理。</w:t>
      </w:r>
    </w:p>
    <w:p>
      <w:pPr>
        <w:spacing w:line="530" w:lineRule="exact"/>
        <w:ind w:firstLine="646" w:firstLineChars="200"/>
        <w:rPr>
          <w:rFonts w:hint="eastAsia"/>
          <w:b/>
        </w:rPr>
      </w:pPr>
      <w:r>
        <w:rPr>
          <w:rFonts w:hint="eastAsia"/>
          <w:b/>
        </w:rPr>
        <w:t>1．预算编制</w:t>
      </w:r>
    </w:p>
    <w:p>
      <w:pPr>
        <w:spacing w:line="530" w:lineRule="exact"/>
        <w:ind w:firstLine="646" w:firstLineChars="200"/>
        <w:rPr>
          <w:rFonts w:hint="eastAsia"/>
        </w:rPr>
      </w:pPr>
      <w:r>
        <w:rPr>
          <w:rFonts w:hint="eastAsia"/>
        </w:rPr>
        <w:t>（1）目标制定：根据部门职能职责及往年预算执行情况编制预算，主要支出要素为部门公用经费、工资福利及购买评审辅助服务三方面，要素完整，年度评审目标细化量化。</w:t>
      </w:r>
    </w:p>
    <w:p>
      <w:pPr>
        <w:spacing w:line="530" w:lineRule="exact"/>
        <w:ind w:firstLine="646" w:firstLineChars="200"/>
        <w:rPr>
          <w:rFonts w:hint="eastAsia"/>
        </w:rPr>
      </w:pPr>
      <w:r>
        <w:rPr>
          <w:rFonts w:hint="eastAsia"/>
        </w:rPr>
        <w:t>（2）目标实现：年度评审目标为评审项目300个、平均审减率10%，实际完成评审项目339个、平均审减率11.32%，超目标任务。</w:t>
      </w:r>
    </w:p>
    <w:p>
      <w:pPr>
        <w:spacing w:line="530" w:lineRule="exact"/>
        <w:ind w:firstLine="646" w:firstLineChars="200"/>
        <w:rPr>
          <w:rFonts w:hint="eastAsia"/>
        </w:rPr>
      </w:pPr>
      <w:r>
        <w:rPr>
          <w:rFonts w:hint="eastAsia"/>
        </w:rPr>
        <w:t>（3）预算编制准确性：2019年事业人员目标奖14.55万元于2020年发放未纳入年度预算，从2020年项目预算资金中调剂使用。</w:t>
      </w:r>
    </w:p>
    <w:p>
      <w:pPr>
        <w:spacing w:line="530" w:lineRule="exact"/>
        <w:ind w:firstLine="646" w:firstLineChars="200"/>
        <w:rPr>
          <w:rFonts w:hint="eastAsia"/>
          <w:b/>
        </w:rPr>
      </w:pPr>
      <w:r>
        <w:rPr>
          <w:rFonts w:hint="eastAsia"/>
          <w:b/>
        </w:rPr>
        <w:t>2．预算执行</w:t>
      </w:r>
    </w:p>
    <w:p>
      <w:pPr>
        <w:spacing w:line="530" w:lineRule="exact"/>
        <w:ind w:firstLine="646" w:firstLineChars="200"/>
        <w:rPr>
          <w:rFonts w:hint="eastAsia"/>
        </w:rPr>
      </w:pPr>
      <w:r>
        <w:rPr>
          <w:rFonts w:hint="eastAsia"/>
        </w:rPr>
        <w:t>（1）支出控制：申报预算477.22万元，实际执行449.99万元，执行率94.29%。</w:t>
      </w:r>
    </w:p>
    <w:p>
      <w:pPr>
        <w:spacing w:line="530" w:lineRule="exact"/>
        <w:ind w:firstLine="646" w:firstLineChars="200"/>
        <w:rPr>
          <w:rFonts w:hint="eastAsia"/>
        </w:rPr>
      </w:pPr>
      <w:r>
        <w:rPr>
          <w:rFonts w:hint="eastAsia"/>
        </w:rPr>
        <w:t>（2）预算动态调整：无调整取消额与结余注销额。</w:t>
      </w:r>
    </w:p>
    <w:p>
      <w:pPr>
        <w:spacing w:line="530" w:lineRule="exact"/>
        <w:ind w:firstLine="646" w:firstLineChars="200"/>
        <w:rPr>
          <w:rFonts w:hint="eastAsia"/>
        </w:rPr>
      </w:pPr>
      <w:r>
        <w:rPr>
          <w:rFonts w:hint="eastAsia"/>
        </w:rPr>
        <w:t>（3）执行进度：我中心预算资金支出重点为评审服务费，并受项目实施进度影响，与常态事业支出不同。按分项“购买评审辅助服务”预算执行率考核（385.09/416.54=92.45%）。</w:t>
      </w:r>
    </w:p>
    <w:p>
      <w:pPr>
        <w:spacing w:line="530" w:lineRule="exact"/>
        <w:ind w:firstLine="646" w:firstLineChars="200"/>
        <w:rPr>
          <w:rFonts w:hint="eastAsia"/>
        </w:rPr>
      </w:pPr>
      <w:r>
        <w:rPr>
          <w:rFonts w:hint="eastAsia"/>
          <w:b/>
        </w:rPr>
        <w:t>3．完成结果：</w:t>
      </w:r>
      <w:r>
        <w:rPr>
          <w:rFonts w:hint="eastAsia"/>
        </w:rPr>
        <w:t>年度预算执行率为94.29%，无违规记录。</w:t>
      </w:r>
    </w:p>
    <w:p>
      <w:pPr>
        <w:spacing w:line="530" w:lineRule="exact"/>
        <w:ind w:firstLine="646" w:firstLineChars="200"/>
        <w:rPr>
          <w:rFonts w:hint="eastAsia" w:ascii="楷体_GB2312" w:eastAsia="楷体_GB2312"/>
        </w:rPr>
      </w:pPr>
      <w:r>
        <w:rPr>
          <w:rFonts w:hint="eastAsia" w:ascii="楷体_GB2312" w:eastAsia="楷体_GB2312"/>
        </w:rPr>
        <w:t>（二）结果应用情况。</w:t>
      </w:r>
    </w:p>
    <w:p>
      <w:pPr>
        <w:spacing w:line="530" w:lineRule="exact"/>
        <w:ind w:firstLine="646" w:firstLineChars="200"/>
        <w:rPr>
          <w:rFonts w:hint="eastAsia"/>
        </w:rPr>
      </w:pPr>
      <w:r>
        <w:rPr>
          <w:rFonts w:hint="eastAsia"/>
        </w:rPr>
        <w:t>1．信息公开：上年度绩效评价自评情况按要求公开。</w:t>
      </w:r>
    </w:p>
    <w:p>
      <w:pPr>
        <w:spacing w:line="530" w:lineRule="exact"/>
        <w:ind w:firstLine="646" w:firstLineChars="200"/>
        <w:rPr>
          <w:rFonts w:hint="eastAsia"/>
        </w:rPr>
      </w:pPr>
      <w:r>
        <w:rPr>
          <w:rFonts w:hint="eastAsia"/>
        </w:rPr>
        <w:t>2．整改反馈：无整改问题。</w:t>
      </w:r>
    </w:p>
    <w:p>
      <w:pPr>
        <w:spacing w:line="530" w:lineRule="exact"/>
        <w:ind w:firstLine="646" w:firstLineChars="200"/>
        <w:rPr>
          <w:rFonts w:hint="eastAsia" w:ascii="黑体" w:hAnsi="黑体" w:eastAsia="黑体"/>
        </w:rPr>
      </w:pPr>
      <w:r>
        <w:rPr>
          <w:rFonts w:hint="eastAsia" w:ascii="黑体" w:hAnsi="黑体" w:eastAsia="黑体"/>
        </w:rPr>
        <w:t>四、评价结论及建议</w:t>
      </w:r>
    </w:p>
    <w:p>
      <w:pPr>
        <w:spacing w:line="530" w:lineRule="exact"/>
        <w:ind w:firstLine="646" w:firstLineChars="200"/>
        <w:rPr>
          <w:rFonts w:hint="eastAsia" w:ascii="楷体_GB2312" w:eastAsia="楷体_GB2312"/>
        </w:rPr>
      </w:pPr>
      <w:r>
        <w:rPr>
          <w:rFonts w:hint="eastAsia" w:ascii="楷体_GB2312" w:eastAsia="楷体_GB2312"/>
        </w:rPr>
        <w:t>（一）评价结论。</w:t>
      </w:r>
    </w:p>
    <w:p>
      <w:pPr>
        <w:spacing w:line="530" w:lineRule="exact"/>
        <w:ind w:firstLine="646" w:firstLineChars="200"/>
      </w:pPr>
      <w:r>
        <w:rPr>
          <w:rFonts w:hint="eastAsia"/>
        </w:rPr>
        <w:t>我中心2020年度预算编制要素完整，绩效目标量化细化，目标任务基本符合实际情况，支出控制严格，预算执行情况良好。自评得分95.60分（详见下表）。</w:t>
      </w:r>
    </w:p>
    <w:tbl>
      <w:tblPr>
        <w:tblStyle w:val="10"/>
        <w:tblW w:w="8899" w:type="dxa"/>
        <w:tblInd w:w="234" w:type="dxa"/>
        <w:tblLayout w:type="autofit"/>
        <w:tblCellMar>
          <w:top w:w="0" w:type="dxa"/>
          <w:left w:w="108" w:type="dxa"/>
          <w:bottom w:w="0" w:type="dxa"/>
          <w:right w:w="108" w:type="dxa"/>
        </w:tblCellMar>
      </w:tblPr>
      <w:tblGrid>
        <w:gridCol w:w="1882"/>
        <w:gridCol w:w="1716"/>
        <w:gridCol w:w="1899"/>
        <w:gridCol w:w="1731"/>
        <w:gridCol w:w="1671"/>
      </w:tblGrid>
      <w:tr>
        <w:trPr>
          <w:wBefore w:w="0" w:type="dxa"/>
          <w:wAfter w:w="0" w:type="dxa"/>
          <w:trHeight w:val="271" w:hRule="atLeast"/>
        </w:trPr>
        <w:tc>
          <w:tcPr>
            <w:tcW w:w="549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绩效指标</w:t>
            </w:r>
          </w:p>
        </w:tc>
        <w:tc>
          <w:tcPr>
            <w:tcW w:w="17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指标分值</w:t>
            </w:r>
          </w:p>
        </w:tc>
        <w:tc>
          <w:tcPr>
            <w:tcW w:w="1671" w:type="dxa"/>
            <w:vMerge w:val="restart"/>
            <w:tcBorders>
              <w:top w:val="single" w:color="000000" w:sz="4" w:space="0"/>
              <w:left w:val="nil"/>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自评得分</w:t>
            </w:r>
          </w:p>
        </w:tc>
      </w:tr>
      <w:tr>
        <w:tblPrEx>
          <w:tblCellMar>
            <w:top w:w="0" w:type="dxa"/>
            <w:left w:w="108" w:type="dxa"/>
            <w:bottom w:w="0" w:type="dxa"/>
            <w:right w:w="108" w:type="dxa"/>
          </w:tblCellMar>
        </w:tblPrEx>
        <w:trPr>
          <w:wBefore w:w="0" w:type="dxa"/>
          <w:wAfter w:w="0" w:type="dxa"/>
          <w:trHeight w:val="271" w:hRule="atLeast"/>
        </w:trPr>
        <w:tc>
          <w:tcPr>
            <w:tcW w:w="18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一级指标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二级指标</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三级指标</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cs="宋体"/>
                <w:color w:val="000000"/>
                <w:sz w:val="22"/>
              </w:rPr>
            </w:pPr>
          </w:p>
        </w:tc>
        <w:tc>
          <w:tcPr>
            <w:tcW w:w="1671" w:type="dxa"/>
            <w:vMerge w:val="continue"/>
            <w:tcBorders>
              <w:top w:val="single" w:color="000000" w:sz="4" w:space="0"/>
              <w:left w:val="nil"/>
              <w:bottom w:val="single" w:color="000000" w:sz="4" w:space="0"/>
              <w:right w:val="single" w:color="000000" w:sz="4" w:space="0"/>
            </w:tcBorders>
            <w:noWrap w:val="0"/>
            <w:vAlign w:val="center"/>
          </w:tcPr>
          <w:p>
            <w:pPr>
              <w:spacing w:line="240" w:lineRule="exact"/>
              <w:jc w:val="center"/>
              <w:rPr>
                <w:rFonts w:hint="eastAsia" w:ascii="宋体" w:hAnsi="宋体" w:eastAsia="宋体" w:cs="宋体"/>
                <w:color w:val="000000"/>
                <w:sz w:val="22"/>
              </w:rPr>
            </w:pPr>
          </w:p>
        </w:tc>
      </w:tr>
      <w:tr>
        <w:trPr>
          <w:wBefore w:w="0" w:type="dxa"/>
          <w:wAfter w:w="0" w:type="dxa"/>
          <w:trHeight w:val="271" w:hRule="atLeast"/>
        </w:trPr>
        <w:tc>
          <w:tcPr>
            <w:tcW w:w="188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预算管理</w:t>
            </w:r>
          </w:p>
        </w:tc>
        <w:tc>
          <w:tcPr>
            <w:tcW w:w="17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预算编制</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目标制定</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r>
      <w:tr>
        <w:tblPrEx>
          <w:tblCellMar>
            <w:top w:w="0" w:type="dxa"/>
            <w:left w:w="108" w:type="dxa"/>
            <w:bottom w:w="0" w:type="dxa"/>
            <w:right w:w="108" w:type="dxa"/>
          </w:tblCellMar>
        </w:tblPrEx>
        <w:trPr>
          <w:wBefore w:w="0" w:type="dxa"/>
          <w:wAfter w:w="0" w:type="dxa"/>
          <w:trHeight w:val="271" w:hRule="atLeast"/>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目标实现</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r>
      <w:tr>
        <w:trPr>
          <w:wBefore w:w="0" w:type="dxa"/>
          <w:wAfter w:w="0" w:type="dxa"/>
          <w:trHeight w:val="271" w:hRule="atLeast"/>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编制准确</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7</w:t>
            </w:r>
          </w:p>
        </w:tc>
      </w:tr>
      <w:tr>
        <w:tblPrEx>
          <w:tblCellMar>
            <w:top w:w="0" w:type="dxa"/>
            <w:left w:w="108" w:type="dxa"/>
            <w:bottom w:w="0" w:type="dxa"/>
            <w:right w:w="108" w:type="dxa"/>
          </w:tblCellMar>
        </w:tblPrEx>
        <w:trPr>
          <w:wBefore w:w="0" w:type="dxa"/>
          <w:wAfter w:w="0" w:type="dxa"/>
          <w:trHeight w:val="271" w:hRule="atLeast"/>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7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                                                                             预算执行</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支出控制</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r>
      <w:tr>
        <w:trPr>
          <w:wBefore w:w="0" w:type="dxa"/>
          <w:wAfter w:w="0" w:type="dxa"/>
          <w:trHeight w:val="271" w:hRule="atLeast"/>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动态调整</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r>
      <w:tr>
        <w:tblPrEx>
          <w:tblCellMar>
            <w:top w:w="0" w:type="dxa"/>
            <w:left w:w="108" w:type="dxa"/>
            <w:bottom w:w="0" w:type="dxa"/>
            <w:right w:w="108" w:type="dxa"/>
          </w:tblCellMar>
        </w:tblPrEx>
        <w:trPr>
          <w:wBefore w:w="0" w:type="dxa"/>
          <w:wAfter w:w="0" w:type="dxa"/>
          <w:trHeight w:val="271" w:hRule="atLeast"/>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执行进度</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9.2</w:t>
            </w:r>
          </w:p>
        </w:tc>
      </w:tr>
      <w:tr>
        <w:trPr>
          <w:wBefore w:w="0" w:type="dxa"/>
          <w:wAfter w:w="0" w:type="dxa"/>
          <w:trHeight w:val="271" w:hRule="atLeast"/>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7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完成结果</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预算完成</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9.4</w:t>
            </w:r>
          </w:p>
        </w:tc>
      </w:tr>
      <w:tr>
        <w:tblPrEx>
          <w:tblCellMar>
            <w:top w:w="0" w:type="dxa"/>
            <w:left w:w="108" w:type="dxa"/>
            <w:bottom w:w="0" w:type="dxa"/>
            <w:right w:w="108" w:type="dxa"/>
          </w:tblCellMar>
        </w:tblPrEx>
        <w:trPr>
          <w:wBefore w:w="0" w:type="dxa"/>
          <w:wAfter w:w="0" w:type="dxa"/>
          <w:trHeight w:val="271" w:hRule="atLeast"/>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违规记录</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r>
      <w:tr>
        <w:trPr>
          <w:wBefore w:w="0" w:type="dxa"/>
          <w:wAfter w:w="0" w:type="dxa"/>
          <w:trHeight w:val="271" w:hRule="atLeast"/>
        </w:trPr>
        <w:tc>
          <w:tcPr>
            <w:tcW w:w="188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绩效结果应用</w:t>
            </w:r>
          </w:p>
        </w:tc>
        <w:tc>
          <w:tcPr>
            <w:tcW w:w="171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信息公开</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自评公开</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2</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2</w:t>
            </w:r>
          </w:p>
        </w:tc>
      </w:tr>
      <w:tr>
        <w:tblPrEx>
          <w:tblCellMar>
            <w:top w:w="0" w:type="dxa"/>
            <w:left w:w="108" w:type="dxa"/>
            <w:bottom w:w="0" w:type="dxa"/>
            <w:right w:w="108" w:type="dxa"/>
          </w:tblCellMar>
        </w:tblPrEx>
        <w:trPr>
          <w:wBefore w:w="0" w:type="dxa"/>
          <w:wAfter w:w="0" w:type="dxa"/>
          <w:trHeight w:val="271" w:hRule="atLeast"/>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7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整改反馈</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结果整改</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w:t>
            </w:r>
          </w:p>
        </w:tc>
      </w:tr>
      <w:tr>
        <w:trPr>
          <w:wBefore w:w="0" w:type="dxa"/>
          <w:wAfter w:w="0" w:type="dxa"/>
          <w:trHeight w:val="271" w:hRule="atLeast"/>
        </w:trPr>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应用反馈</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4</w:t>
            </w:r>
          </w:p>
        </w:tc>
      </w:tr>
      <w:tr>
        <w:tblPrEx>
          <w:tblCellMar>
            <w:top w:w="0" w:type="dxa"/>
            <w:left w:w="108" w:type="dxa"/>
            <w:bottom w:w="0" w:type="dxa"/>
            <w:right w:w="108" w:type="dxa"/>
          </w:tblCellMar>
        </w:tblPrEx>
        <w:trPr>
          <w:wBefore w:w="0" w:type="dxa"/>
          <w:wAfter w:w="0" w:type="dxa"/>
          <w:trHeight w:val="271" w:hRule="atLeast"/>
        </w:trPr>
        <w:tc>
          <w:tcPr>
            <w:tcW w:w="18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自评质量</w:t>
            </w:r>
          </w:p>
        </w:tc>
        <w:tc>
          <w:tcPr>
            <w:tcW w:w="171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自评质量</w:t>
            </w:r>
          </w:p>
        </w:tc>
        <w:tc>
          <w:tcPr>
            <w:tcW w:w="1899"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自评准确</w:t>
            </w:r>
          </w:p>
        </w:tc>
        <w:tc>
          <w:tcPr>
            <w:tcW w:w="1731"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c>
          <w:tcPr>
            <w:tcW w:w="1671"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w:t>
            </w:r>
          </w:p>
        </w:tc>
      </w:tr>
      <w:tr>
        <w:trPr>
          <w:wBefore w:w="0" w:type="dxa"/>
          <w:wAfter w:w="0" w:type="dxa"/>
          <w:trHeight w:val="276" w:hRule="atLeast"/>
        </w:trPr>
        <w:tc>
          <w:tcPr>
            <w:tcW w:w="549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合计</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100</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95.6</w:t>
            </w:r>
          </w:p>
        </w:tc>
      </w:tr>
    </w:tbl>
    <w:p>
      <w:pPr>
        <w:spacing w:line="530" w:lineRule="exact"/>
        <w:ind w:firstLine="646" w:firstLineChars="200"/>
        <w:rPr>
          <w:rFonts w:hint="eastAsia" w:ascii="楷体_GB2312" w:eastAsia="楷体_GB2312"/>
        </w:rPr>
      </w:pPr>
      <w:r>
        <w:rPr>
          <w:rFonts w:hint="eastAsia" w:ascii="楷体_GB2312" w:eastAsia="楷体_GB2312"/>
        </w:rPr>
        <w:t>（二）存在问题。</w:t>
      </w:r>
    </w:p>
    <w:p>
      <w:pPr>
        <w:spacing w:line="530" w:lineRule="exact"/>
        <w:ind w:firstLine="646" w:firstLineChars="200"/>
        <w:rPr>
          <w:rFonts w:hint="eastAsia"/>
        </w:rPr>
      </w:pPr>
      <w:r>
        <w:rPr>
          <w:rFonts w:hint="eastAsia"/>
        </w:rPr>
        <w:t>1．预算编制未考虑上年度未达事项，如上年度未支出的事业人员目标奖未纳入预算，导致执行年度调剂项目资金预算。</w:t>
      </w:r>
    </w:p>
    <w:p>
      <w:pPr>
        <w:spacing w:line="530" w:lineRule="exact"/>
        <w:ind w:firstLine="646" w:firstLineChars="200"/>
        <w:rPr>
          <w:rFonts w:hint="eastAsia"/>
        </w:rPr>
      </w:pPr>
      <w:r>
        <w:rPr>
          <w:rFonts w:hint="eastAsia"/>
        </w:rPr>
        <w:t>2．项目预算中设备购置因政府强制要求使用安可电脑不满足中心工程专业财政评审技术需求未实施。</w:t>
      </w:r>
    </w:p>
    <w:p>
      <w:pPr>
        <w:spacing w:line="530" w:lineRule="exact"/>
        <w:ind w:firstLine="646" w:firstLineChars="200"/>
        <w:rPr>
          <w:rFonts w:hint="eastAsia" w:ascii="楷体_GB2312" w:eastAsia="楷体_GB2312"/>
        </w:rPr>
      </w:pPr>
      <w:r>
        <w:rPr>
          <w:rFonts w:hint="eastAsia" w:ascii="楷体_GB2312" w:eastAsia="楷体_GB2312"/>
        </w:rPr>
        <w:t>（三）改进建议。</w:t>
      </w:r>
    </w:p>
    <w:p>
      <w:pPr>
        <w:spacing w:line="530" w:lineRule="exact"/>
        <w:ind w:firstLine="646" w:firstLineChars="200"/>
        <w:rPr>
          <w:rFonts w:hint="eastAsia"/>
        </w:rPr>
      </w:pPr>
      <w:r>
        <w:rPr>
          <w:rFonts w:hint="eastAsia"/>
        </w:rPr>
        <w:t>1．编制年度预算时，将上年度未考核应支出的事业人员各项补贴、委托评审协作业务费等未达事项纳入年度预算因素，提高预算准确性。</w:t>
      </w:r>
    </w:p>
    <w:p>
      <w:pPr>
        <w:spacing w:line="530" w:lineRule="exact"/>
        <w:ind w:firstLine="646" w:firstLineChars="200"/>
        <w:rPr>
          <w:rFonts w:hint="eastAsia"/>
        </w:rPr>
      </w:pPr>
      <w:r>
        <w:rPr>
          <w:rFonts w:hint="eastAsia"/>
        </w:rPr>
        <w:t>2．建议允许我中心配置与工程计量、造价审核相适应的工作用电脑工具，确保评审工作任务完成和工作质量提高。</w:t>
      </w:r>
    </w:p>
    <w:p>
      <w:pPr>
        <w:pStyle w:val="3"/>
        <w:keepNext w:val="0"/>
        <w:keepLines w:val="0"/>
        <w:overflowPunct w:val="0"/>
        <w:topLinePunct/>
        <w:spacing w:before="0" w:after="0" w:line="620" w:lineRule="exact"/>
        <w:rPr>
          <w:rFonts w:hint="eastAsia" w:ascii="黑体" w:hAnsi="黑体" w:eastAsia="黑体"/>
          <w:b w:val="0"/>
          <w:color w:val="000000"/>
        </w:rPr>
      </w:pPr>
      <w:r>
        <w:br w:type="page"/>
      </w:r>
      <w:bookmarkStart w:id="20" w:name="_Toc80262651"/>
      <w:r>
        <w:rPr>
          <w:rFonts w:hint="eastAsia" w:ascii="黑体" w:hAnsi="黑体" w:eastAsia="黑体"/>
          <w:b w:val="0"/>
          <w:color w:val="000000"/>
        </w:rPr>
        <w:t>附件2</w:t>
      </w:r>
      <w:bookmarkEnd w:id="20"/>
    </w:p>
    <w:p>
      <w:pPr>
        <w:spacing w:line="620" w:lineRule="exact"/>
      </w:pP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购买评审辅助服务项目</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2020年绩效评价自评报告</w:t>
      </w:r>
    </w:p>
    <w:p>
      <w:pPr>
        <w:spacing w:line="620" w:lineRule="exact"/>
      </w:pPr>
    </w:p>
    <w:p>
      <w:pPr>
        <w:spacing w:line="620" w:lineRule="exact"/>
        <w:ind w:firstLine="646" w:firstLineChars="200"/>
        <w:rPr>
          <w:rFonts w:hint="eastAsia" w:ascii="黑体" w:hAnsi="黑体" w:eastAsia="黑体"/>
        </w:rPr>
      </w:pPr>
      <w:r>
        <w:rPr>
          <w:rFonts w:hint="eastAsia" w:ascii="黑体" w:hAnsi="黑体" w:eastAsia="黑体"/>
        </w:rPr>
        <w:t>一、项目概况</w:t>
      </w:r>
    </w:p>
    <w:p>
      <w:pPr>
        <w:spacing w:line="620" w:lineRule="exact"/>
        <w:ind w:firstLine="646" w:firstLineChars="200"/>
        <w:rPr>
          <w:rFonts w:hint="eastAsia" w:ascii="楷体_GB2312" w:eastAsia="楷体_GB2312"/>
        </w:rPr>
      </w:pPr>
      <w:r>
        <w:rPr>
          <w:rFonts w:hint="eastAsia" w:ascii="楷体_GB2312" w:eastAsia="楷体_GB2312"/>
        </w:rPr>
        <w:t>（一）项目基本情况。</w:t>
      </w:r>
    </w:p>
    <w:p>
      <w:pPr>
        <w:spacing w:line="620" w:lineRule="exact"/>
        <w:ind w:firstLine="646" w:firstLineChars="200"/>
        <w:rPr>
          <w:rFonts w:hint="eastAsia"/>
          <w:b/>
        </w:rPr>
      </w:pPr>
      <w:r>
        <w:rPr>
          <w:rFonts w:hint="eastAsia"/>
          <w:b/>
        </w:rPr>
        <w:t>1．项目主管部门在该项目管理中的职能。</w:t>
      </w:r>
    </w:p>
    <w:p>
      <w:pPr>
        <w:spacing w:line="620" w:lineRule="exact"/>
        <w:ind w:firstLine="646" w:firstLineChars="200"/>
        <w:rPr>
          <w:rFonts w:hint="eastAsia"/>
        </w:rPr>
      </w:pPr>
      <w:r>
        <w:rPr>
          <w:rFonts w:hint="eastAsia"/>
        </w:rPr>
        <w:t>根据《遂宁市人民政府关于印发〈遂宁市财政投资评审管理暂行办法〉的通知》（遂府函〔2007〕33号）评审中心主要职能职责为负责本级部门项目支出预算的专业审核工作及本级基本建设项目竣工决算的专业审核工作。评审中心通过制定评审工作流程、评审质量控制办法、人员工资分配管理办法、协作评审管理办法等强化评审过程控制，努力提高评审结论公正公平和评审报告规范性，加强工作人员业务素质提高和廉政建设，使中心服务质量、对外形象得以大步提升。</w:t>
      </w:r>
    </w:p>
    <w:p>
      <w:pPr>
        <w:spacing w:line="620" w:lineRule="exact"/>
        <w:ind w:firstLine="646" w:firstLineChars="200"/>
        <w:rPr>
          <w:rFonts w:hint="eastAsia"/>
          <w:b/>
        </w:rPr>
      </w:pPr>
      <w:r>
        <w:rPr>
          <w:rFonts w:hint="eastAsia"/>
          <w:b/>
        </w:rPr>
        <w:t>2. 项目立项、资金申报的依据。</w:t>
      </w:r>
    </w:p>
    <w:p>
      <w:pPr>
        <w:spacing w:line="620" w:lineRule="exact"/>
        <w:ind w:firstLine="646" w:firstLineChars="200"/>
        <w:rPr>
          <w:rFonts w:hint="eastAsia"/>
        </w:rPr>
      </w:pPr>
      <w:r>
        <w:rPr>
          <w:rFonts w:hint="eastAsia"/>
        </w:rPr>
        <w:t>财政投资评审是财政预算支出管理的工作手段，该项目预算的主要因素是人员经费，不执行建设项目需立项管理。根据财政预算管理要求及《遂宁市财政局关于追加市投资评审中心2018年度政府购买服务经费预算的建议意见》的领导批示由我单位按年度进行申报。</w:t>
      </w:r>
    </w:p>
    <w:p>
      <w:pPr>
        <w:spacing w:line="620" w:lineRule="exact"/>
        <w:ind w:firstLine="646" w:firstLineChars="200"/>
        <w:rPr>
          <w:rFonts w:hint="eastAsia"/>
          <w:b/>
        </w:rPr>
      </w:pPr>
      <w:r>
        <w:rPr>
          <w:rFonts w:hint="eastAsia"/>
          <w:b/>
        </w:rPr>
        <w:t>3. 资金管理办法制定情况，资金支持具体项目的条件、范围与支持方式概况。</w:t>
      </w:r>
    </w:p>
    <w:p>
      <w:pPr>
        <w:spacing w:line="620" w:lineRule="exact"/>
        <w:ind w:firstLine="646" w:firstLineChars="200"/>
        <w:rPr>
          <w:rFonts w:hint="eastAsia"/>
        </w:rPr>
      </w:pPr>
      <w:r>
        <w:rPr>
          <w:rFonts w:hint="eastAsia"/>
        </w:rPr>
        <w:t>资金管理按评审中心项目资金管理办法进行管理。人员工资按照中心《专业技术人员工资管理办法》考核执行，主要由基本工资及评审项目效益工资构成。协作机构评审业务费参照《四川省物价局、省建设厅关于〈工程造价咨询服务收费标准〉的通知》（川价发〔2008〕141号）文件规定标准及说明结合市场行情下浮一定比例执行。</w:t>
      </w:r>
    </w:p>
    <w:p>
      <w:pPr>
        <w:spacing w:line="620" w:lineRule="exact"/>
        <w:ind w:firstLine="646" w:firstLineChars="200"/>
        <w:rPr>
          <w:rFonts w:hint="eastAsia"/>
          <w:b/>
        </w:rPr>
      </w:pPr>
      <w:r>
        <w:rPr>
          <w:rFonts w:hint="eastAsia"/>
          <w:b/>
        </w:rPr>
        <w:t>4．资金分配的原则及考虑因素。</w:t>
      </w:r>
    </w:p>
    <w:p>
      <w:pPr>
        <w:spacing w:line="620" w:lineRule="exact"/>
        <w:ind w:firstLine="646" w:firstLineChars="200"/>
        <w:rPr>
          <w:rFonts w:hint="eastAsia"/>
        </w:rPr>
      </w:pPr>
      <w:r>
        <w:rPr>
          <w:rFonts w:hint="eastAsia"/>
        </w:rPr>
        <w:t>根据上年度预算执行情况，结合趋势分析法申报人员工资费用预算及协作机构评审业务费预算，预算执行中据实分配。考虑的因素有上年度预算执行情况、业务量发展与人力资源配比情况、地方政府发展规划、财政发展规划等。</w:t>
      </w:r>
    </w:p>
    <w:p>
      <w:pPr>
        <w:spacing w:line="620" w:lineRule="exact"/>
        <w:ind w:firstLine="646" w:firstLineChars="200"/>
        <w:rPr>
          <w:rFonts w:hint="eastAsia" w:ascii="楷体_GB2312" w:eastAsia="楷体_GB2312"/>
        </w:rPr>
      </w:pPr>
      <w:r>
        <w:rPr>
          <w:rFonts w:hint="eastAsia" w:ascii="楷体_GB2312" w:eastAsia="楷体_GB2312"/>
        </w:rPr>
        <w:t>（二）项目绩效目标。</w:t>
      </w:r>
    </w:p>
    <w:p>
      <w:pPr>
        <w:spacing w:line="620" w:lineRule="exact"/>
        <w:ind w:firstLine="646" w:firstLineChars="200"/>
        <w:rPr>
          <w:rFonts w:hint="eastAsia"/>
        </w:rPr>
      </w:pPr>
      <w:r>
        <w:rPr>
          <w:rFonts w:hint="eastAsia"/>
        </w:rPr>
        <w:t>1．项目主要内容。</w:t>
      </w:r>
    </w:p>
    <w:p>
      <w:pPr>
        <w:spacing w:line="620" w:lineRule="exact"/>
        <w:ind w:firstLine="646" w:firstLineChars="200"/>
        <w:rPr>
          <w:rFonts w:hint="eastAsia"/>
        </w:rPr>
      </w:pPr>
      <w:r>
        <w:rPr>
          <w:rFonts w:hint="eastAsia"/>
        </w:rPr>
        <w:t>项目主要内容为年度完成评审工作业务数量、评审经济效益和社会效益，预算支出主要内容为评审中心专业技术人员服务费和协作机构评审业务费。</w:t>
      </w:r>
    </w:p>
    <w:p>
      <w:pPr>
        <w:spacing w:line="620" w:lineRule="exact"/>
        <w:ind w:firstLine="646" w:firstLineChars="200"/>
      </w:pPr>
      <w:r>
        <w:rPr>
          <w:rFonts w:hint="eastAsia"/>
        </w:rPr>
        <w:t>2. 项目应实现的具体绩效目标，包括目标的量化、细化情况以及项目实施进度计划等详见下表《项目绩效目标情况表》。</w:t>
      </w:r>
    </w:p>
    <w:p>
      <w:pPr>
        <w:spacing w:line="620" w:lineRule="exact"/>
        <w:ind w:firstLine="646" w:firstLineChars="200"/>
      </w:pPr>
    </w:p>
    <w:p>
      <w:pPr>
        <w:spacing w:line="620" w:lineRule="exact"/>
        <w:ind w:firstLine="646" w:firstLineChars="200"/>
      </w:pPr>
    </w:p>
    <w:p>
      <w:pPr>
        <w:spacing w:line="620" w:lineRule="exact"/>
        <w:jc w:val="center"/>
        <w:rPr>
          <w:rFonts w:hint="eastAsia" w:ascii="黑体" w:hAnsi="黑体" w:eastAsia="黑体"/>
        </w:rPr>
      </w:pPr>
      <w:r>
        <w:rPr>
          <w:rFonts w:hint="eastAsia" w:ascii="黑体" w:hAnsi="黑体" w:eastAsia="黑体"/>
        </w:rPr>
        <w:t>项目绩效目标情况表</w:t>
      </w:r>
    </w:p>
    <w:p>
      <w:pPr>
        <w:spacing w:line="620" w:lineRule="exact"/>
        <w:jc w:val="center"/>
      </w:pPr>
      <w:r>
        <w:rPr>
          <w:rFonts w:hint="eastAsia"/>
        </w:rPr>
        <w:t>（2020年度）</w:t>
      </w:r>
    </w:p>
    <w:tbl>
      <w:tblPr>
        <w:tblStyle w:val="10"/>
        <w:tblpPr w:leftFromText="180" w:rightFromText="180" w:vertAnchor="text" w:horzAnchor="page" w:tblpXSpec="center" w:tblpY="423"/>
        <w:tblOverlap w:val="never"/>
        <w:tblW w:w="9002" w:type="dxa"/>
        <w:jc w:val="center"/>
        <w:tblLayout w:type="fixed"/>
        <w:tblCellMar>
          <w:top w:w="0" w:type="dxa"/>
          <w:left w:w="0" w:type="dxa"/>
          <w:bottom w:w="0" w:type="dxa"/>
          <w:right w:w="0" w:type="dxa"/>
        </w:tblCellMar>
      </w:tblPr>
      <w:tblGrid>
        <w:gridCol w:w="421"/>
        <w:gridCol w:w="1423"/>
        <w:gridCol w:w="1265"/>
        <w:gridCol w:w="1559"/>
        <w:gridCol w:w="4334"/>
      </w:tblGrid>
      <w:tr>
        <w:tblPrEx>
          <w:tblCellMar>
            <w:top w:w="0" w:type="dxa"/>
            <w:left w:w="0" w:type="dxa"/>
            <w:bottom w:w="0" w:type="dxa"/>
            <w:right w:w="0" w:type="dxa"/>
          </w:tblCellMar>
        </w:tblPrEx>
        <w:trPr>
          <w:wBefore w:w="0" w:type="dxa"/>
          <w:wAfter w:w="0" w:type="dxa"/>
          <w:trHeight w:val="593" w:hRule="atLeast"/>
          <w:jc w:val="center"/>
        </w:trPr>
        <w:tc>
          <w:tcPr>
            <w:tcW w:w="31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项目名称</w:t>
            </w:r>
          </w:p>
        </w:tc>
        <w:tc>
          <w:tcPr>
            <w:tcW w:w="58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购买评审辅助服务项目</w:t>
            </w:r>
          </w:p>
        </w:tc>
      </w:tr>
      <w:tr>
        <w:trPr>
          <w:wBefore w:w="0" w:type="dxa"/>
          <w:wAfter w:w="0" w:type="dxa"/>
          <w:trHeight w:val="593" w:hRule="atLeast"/>
          <w:jc w:val="center"/>
        </w:trPr>
        <w:tc>
          <w:tcPr>
            <w:tcW w:w="31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预算单位</w:t>
            </w:r>
          </w:p>
        </w:tc>
        <w:tc>
          <w:tcPr>
            <w:tcW w:w="58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遂宁市政府投资评审中心</w:t>
            </w:r>
          </w:p>
        </w:tc>
      </w:tr>
      <w:tr>
        <w:tblPrEx>
          <w:tblCellMar>
            <w:top w:w="0" w:type="dxa"/>
            <w:left w:w="0" w:type="dxa"/>
            <w:bottom w:w="0" w:type="dxa"/>
            <w:right w:w="0" w:type="dxa"/>
          </w:tblCellMar>
        </w:tblPrEx>
        <w:trPr>
          <w:wBefore w:w="0" w:type="dxa"/>
          <w:wAfter w:w="0" w:type="dxa"/>
          <w:trHeight w:val="771" w:hRule="atLeast"/>
          <w:jc w:val="center"/>
        </w:trPr>
        <w:tc>
          <w:tcPr>
            <w:tcW w:w="900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预算数:416.54万元</w:t>
            </w:r>
          </w:p>
        </w:tc>
      </w:tr>
      <w:tr>
        <w:trPr>
          <w:wBefore w:w="0" w:type="dxa"/>
          <w:wAfter w:w="0" w:type="dxa"/>
          <w:trHeight w:val="719" w:hRule="atLeast"/>
          <w:jc w:val="center"/>
        </w:trPr>
        <w:tc>
          <w:tcPr>
            <w:tcW w:w="900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预期目标：评审项目300个，平均审减率10%。</w:t>
            </w:r>
          </w:p>
        </w:tc>
      </w:tr>
      <w:tr>
        <w:tblPrEx>
          <w:tblCellMar>
            <w:top w:w="0" w:type="dxa"/>
            <w:left w:w="0" w:type="dxa"/>
            <w:bottom w:w="0" w:type="dxa"/>
            <w:right w:w="0" w:type="dxa"/>
          </w:tblCellMar>
        </w:tblPrEx>
        <w:trPr>
          <w:wBefore w:w="0" w:type="dxa"/>
          <w:wAfter w:w="0" w:type="dxa"/>
          <w:trHeight w:val="937" w:hRule="atLeast"/>
          <w:jc w:val="center"/>
        </w:trPr>
        <w:tc>
          <w:tcPr>
            <w:tcW w:w="42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绩效目标情况</w:t>
            </w: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一级指标</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二级指标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三级指标</w:t>
            </w:r>
          </w:p>
        </w:tc>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预期指标值(包含数字及文字描述)</w:t>
            </w:r>
          </w:p>
        </w:tc>
      </w:tr>
      <w:tr>
        <w:trPr>
          <w:wBefore w:w="0" w:type="dxa"/>
          <w:wAfter w:w="0" w:type="dxa"/>
          <w:trHeight w:val="936" w:hRule="atLeast"/>
          <w:jc w:val="center"/>
        </w:trPr>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数量指标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项目评审数量</w:t>
            </w:r>
          </w:p>
        </w:tc>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300个</w:t>
            </w:r>
          </w:p>
        </w:tc>
      </w:tr>
      <w:tr>
        <w:tblPrEx>
          <w:tblCellMar>
            <w:top w:w="0" w:type="dxa"/>
            <w:left w:w="0" w:type="dxa"/>
            <w:bottom w:w="0" w:type="dxa"/>
            <w:right w:w="0" w:type="dxa"/>
          </w:tblCellMar>
        </w:tblPrEx>
        <w:trPr>
          <w:wBefore w:w="0" w:type="dxa"/>
          <w:wAfter w:w="0" w:type="dxa"/>
          <w:trHeight w:val="1165" w:hRule="atLeast"/>
          <w:jc w:val="center"/>
        </w:trPr>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质量指标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委托评审造价复核</w:t>
            </w:r>
          </w:p>
        </w:tc>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宋体" w:hAnsi="宋体" w:eastAsia="宋体" w:cs="宋体"/>
                <w:color w:val="000000"/>
                <w:sz w:val="22"/>
              </w:rPr>
            </w:pPr>
            <w:r>
              <w:rPr>
                <w:rFonts w:hint="eastAsia" w:ascii="宋体" w:hAnsi="宋体" w:eastAsia="宋体" w:cs="宋体"/>
                <w:color w:val="000000"/>
                <w:sz w:val="22"/>
              </w:rPr>
              <w:t>年度预计委托评审5个，委托评审结果再复核率100%</w:t>
            </w:r>
          </w:p>
        </w:tc>
      </w:tr>
      <w:tr>
        <w:trPr>
          <w:wBefore w:w="0" w:type="dxa"/>
          <w:wAfter w:w="0" w:type="dxa"/>
          <w:trHeight w:val="1172" w:hRule="atLeast"/>
          <w:jc w:val="center"/>
        </w:trPr>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宋体" w:hAnsi="宋体" w:eastAsia="宋体" w:cs="宋体"/>
                <w:color w:val="000000"/>
                <w:sz w:val="22"/>
              </w:rPr>
            </w:pPr>
            <w:r>
              <w:rPr>
                <w:rFonts w:hint="eastAsia" w:ascii="宋体" w:hAnsi="宋体" w:eastAsia="宋体" w:cs="宋体"/>
                <w:color w:val="000000"/>
                <w:sz w:val="22"/>
              </w:rPr>
              <w:t>时效指标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评审结论完成时效</w:t>
            </w:r>
          </w:p>
        </w:tc>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宋体" w:hAnsi="宋体" w:eastAsia="宋体" w:cs="宋体"/>
                <w:color w:val="000000"/>
                <w:sz w:val="22"/>
              </w:rPr>
            </w:pPr>
            <w:r>
              <w:rPr>
                <w:rFonts w:hint="eastAsia" w:ascii="宋体" w:hAnsi="宋体" w:eastAsia="宋体" w:cs="宋体"/>
                <w:color w:val="000000"/>
                <w:sz w:val="22"/>
              </w:rPr>
              <w:t>在项目评审时间要求内，完成项目评审比率大于98%</w:t>
            </w:r>
          </w:p>
        </w:tc>
      </w:tr>
      <w:tr>
        <w:tblPrEx>
          <w:tblCellMar>
            <w:top w:w="0" w:type="dxa"/>
            <w:left w:w="0" w:type="dxa"/>
            <w:bottom w:w="0" w:type="dxa"/>
            <w:right w:w="0" w:type="dxa"/>
          </w:tblCellMar>
        </w:tblPrEx>
        <w:trPr>
          <w:wBefore w:w="0" w:type="dxa"/>
          <w:wAfter w:w="0" w:type="dxa"/>
          <w:trHeight w:val="990" w:hRule="atLeast"/>
          <w:jc w:val="center"/>
        </w:trPr>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成本指标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成本指标</w:t>
            </w:r>
          </w:p>
        </w:tc>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预算成本在预算内列支</w:t>
            </w:r>
          </w:p>
        </w:tc>
      </w:tr>
      <w:tr>
        <w:trPr>
          <w:wBefore w:w="0" w:type="dxa"/>
          <w:wAfter w:w="0" w:type="dxa"/>
          <w:trHeight w:val="968" w:hRule="atLeast"/>
          <w:jc w:val="center"/>
        </w:trPr>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效益指标</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经济效益</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预算资金投资节约</w:t>
            </w:r>
          </w:p>
        </w:tc>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年度预算评审项目审减不合理预算大于10%</w:t>
            </w:r>
          </w:p>
        </w:tc>
      </w:tr>
      <w:tr>
        <w:tblPrEx>
          <w:tblCellMar>
            <w:top w:w="0" w:type="dxa"/>
            <w:left w:w="0" w:type="dxa"/>
            <w:bottom w:w="0" w:type="dxa"/>
            <w:right w:w="0" w:type="dxa"/>
          </w:tblCellMar>
        </w:tblPrEx>
        <w:trPr>
          <w:wBefore w:w="0" w:type="dxa"/>
          <w:wAfter w:w="0" w:type="dxa"/>
          <w:trHeight w:val="1386" w:hRule="atLeast"/>
          <w:jc w:val="center"/>
        </w:trPr>
        <w:tc>
          <w:tcPr>
            <w:tcW w:w="421"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效益指标</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可持续影响指标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财政评审可持续性</w:t>
            </w:r>
          </w:p>
        </w:tc>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制定和完善财政各项规范提升财政报告能力，积极宣传各项目财政政策服务评审项目管理，促进财政评审健康发展。</w:t>
            </w:r>
          </w:p>
        </w:tc>
      </w:tr>
      <w:tr>
        <w:trPr>
          <w:wBefore w:w="0" w:type="dxa"/>
          <w:wAfter w:w="0" w:type="dxa"/>
          <w:trHeight w:val="1200" w:hRule="atLeast"/>
          <w:jc w:val="center"/>
        </w:trPr>
        <w:tc>
          <w:tcPr>
            <w:tcW w:w="42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满意度指标</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服务对象满意度</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服务对象满意程度</w:t>
            </w:r>
          </w:p>
        </w:tc>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宋体" w:hAnsi="宋体" w:eastAsia="宋体" w:cs="宋体"/>
                <w:color w:val="000000"/>
                <w:sz w:val="22"/>
              </w:rPr>
            </w:pPr>
            <w:r>
              <w:rPr>
                <w:rFonts w:hint="eastAsia" w:ascii="宋体" w:hAnsi="宋体" w:eastAsia="宋体" w:cs="宋体"/>
                <w:color w:val="000000"/>
                <w:sz w:val="22"/>
              </w:rPr>
              <w:t>评审人员工作作风、态度、效率“优”评价大于99%，遵守廉政纪律达到100%</w:t>
            </w:r>
          </w:p>
        </w:tc>
      </w:tr>
    </w:tbl>
    <w:p>
      <w:pPr>
        <w:spacing w:line="620" w:lineRule="exact"/>
        <w:ind w:firstLine="646" w:firstLineChars="200"/>
        <w:rPr>
          <w:rFonts w:hint="eastAsia"/>
        </w:rPr>
      </w:pPr>
      <w:r>
        <w:rPr>
          <w:rFonts w:hint="eastAsia"/>
        </w:rPr>
        <w:t>3. 分析评价申报内容是否与实际相符，申报目标是否合理可行。</w:t>
      </w:r>
    </w:p>
    <w:p>
      <w:pPr>
        <w:spacing w:line="620" w:lineRule="exact"/>
        <w:ind w:firstLine="646" w:firstLineChars="200"/>
        <w:rPr>
          <w:rFonts w:hint="eastAsia"/>
        </w:rPr>
      </w:pPr>
      <w:r>
        <w:rPr>
          <w:rFonts w:hint="eastAsia"/>
        </w:rPr>
        <w:t>由于评审中心工作的专业性、特殊性要求，我中心招聘人员都具有较高资质专业技术并能独立进行项目评审工作，工作流程符合中心管理办法，多年来未发生评审工作质量事故。项目申报内容与具体实施内容相符，从年度决算看申报目标合理可行。</w:t>
      </w:r>
    </w:p>
    <w:p>
      <w:pPr>
        <w:spacing w:line="620" w:lineRule="exact"/>
        <w:ind w:firstLine="646" w:firstLineChars="200"/>
        <w:rPr>
          <w:rFonts w:hint="eastAsia" w:ascii="楷体_GB2312" w:eastAsia="楷体_GB2312"/>
        </w:rPr>
      </w:pPr>
      <w:r>
        <w:rPr>
          <w:rFonts w:hint="eastAsia" w:ascii="楷体_GB2312" w:eastAsia="楷体_GB2312"/>
        </w:rPr>
        <w:t>（三）项目自评步骤及方法。</w:t>
      </w:r>
    </w:p>
    <w:p>
      <w:pPr>
        <w:spacing w:line="620" w:lineRule="exact"/>
        <w:ind w:firstLine="646" w:firstLineChars="200"/>
        <w:rPr>
          <w:rFonts w:hint="eastAsia"/>
        </w:rPr>
      </w:pPr>
      <w:r>
        <w:rPr>
          <w:rFonts w:hint="eastAsia"/>
        </w:rPr>
        <w:t>本项目采取自评方式，结合评价内容，做到有计划、有安排、扎实开展自评工作。按照上级下达的项目支出绩效评价指标体系，针对申报内容、实施情况、资金兑现、财务管理、社会效益等做出客观公正的自我评价。</w:t>
      </w:r>
    </w:p>
    <w:p>
      <w:pPr>
        <w:spacing w:line="620" w:lineRule="exact"/>
        <w:ind w:firstLine="646" w:firstLineChars="200"/>
        <w:rPr>
          <w:rFonts w:hint="eastAsia" w:ascii="黑体" w:hAnsi="黑体" w:eastAsia="黑体"/>
        </w:rPr>
      </w:pPr>
      <w:r>
        <w:rPr>
          <w:rFonts w:hint="eastAsia" w:ascii="黑体" w:hAnsi="黑体" w:eastAsia="黑体"/>
        </w:rPr>
        <w:t>二、项目资金申报及使用情况</w:t>
      </w:r>
    </w:p>
    <w:p>
      <w:pPr>
        <w:spacing w:line="620" w:lineRule="exact"/>
        <w:ind w:firstLine="646" w:firstLineChars="200"/>
        <w:rPr>
          <w:rFonts w:hint="eastAsia" w:ascii="楷体_GB2312" w:eastAsia="楷体_GB2312"/>
        </w:rPr>
      </w:pPr>
      <w:r>
        <w:rPr>
          <w:rFonts w:hint="eastAsia" w:ascii="楷体_GB2312" w:eastAsia="楷体_GB2312"/>
        </w:rPr>
        <w:t>（一）项目资金申报及批复情况。</w:t>
      </w:r>
    </w:p>
    <w:p>
      <w:pPr>
        <w:spacing w:line="620" w:lineRule="exact"/>
        <w:ind w:firstLine="646" w:firstLineChars="200"/>
        <w:rPr>
          <w:rFonts w:hint="eastAsia"/>
        </w:rPr>
      </w:pPr>
      <w:r>
        <w:rPr>
          <w:rFonts w:hint="eastAsia"/>
        </w:rPr>
        <w:t>我中心年初申报“购买评审辅助服务项目”经费416.54万元，按年度进行申报。《遂宁市财政局关于批复下属单位2020年部门预算的通知》（遂财办[2020]15号）进行了批复。</w:t>
      </w:r>
    </w:p>
    <w:p>
      <w:pPr>
        <w:spacing w:line="620" w:lineRule="exact"/>
        <w:ind w:firstLine="646" w:firstLineChars="200"/>
        <w:rPr>
          <w:rFonts w:hint="eastAsia" w:ascii="楷体_GB2312" w:eastAsia="楷体_GB2312"/>
        </w:rPr>
      </w:pPr>
      <w:r>
        <w:rPr>
          <w:rFonts w:hint="eastAsia" w:ascii="楷体_GB2312" w:eastAsia="楷体_GB2312"/>
        </w:rPr>
        <w:t>（二）资金计划、到位及使用情况（可用表格形式反映）。</w:t>
      </w:r>
    </w:p>
    <w:p>
      <w:pPr>
        <w:spacing w:line="620" w:lineRule="exact"/>
        <w:ind w:firstLine="646" w:firstLineChars="200"/>
        <w:rPr>
          <w:rFonts w:hint="eastAsia"/>
        </w:rPr>
      </w:pPr>
      <w:r>
        <w:rPr>
          <w:rFonts w:hint="eastAsia"/>
          <w:b/>
        </w:rPr>
        <w:t>1．资金计划：</w:t>
      </w:r>
      <w:r>
        <w:rPr>
          <w:rFonts w:hint="eastAsia"/>
        </w:rPr>
        <w:t>评审中心购买评审辅助服务项目资金计划416.54万元，并于2020年6月批复。</w:t>
      </w:r>
    </w:p>
    <w:p>
      <w:pPr>
        <w:spacing w:line="620" w:lineRule="exact"/>
        <w:ind w:firstLine="646" w:firstLineChars="200"/>
        <w:rPr>
          <w:rFonts w:hint="eastAsia"/>
        </w:rPr>
      </w:pPr>
      <w:r>
        <w:rPr>
          <w:rFonts w:hint="eastAsia"/>
          <w:b/>
        </w:rPr>
        <w:t>2．资金到位：</w:t>
      </w:r>
      <w:r>
        <w:rPr>
          <w:rFonts w:hint="eastAsia"/>
        </w:rPr>
        <w:t>截至2020年12月，资金到位416.54万元，计划资金到位率100%。</w:t>
      </w:r>
    </w:p>
    <w:p>
      <w:pPr>
        <w:spacing w:line="620" w:lineRule="exact"/>
        <w:ind w:firstLine="646" w:firstLineChars="200"/>
        <w:rPr>
          <w:rFonts w:hint="eastAsia"/>
        </w:rPr>
      </w:pPr>
      <w:r>
        <w:rPr>
          <w:rFonts w:hint="eastAsia"/>
          <w:b/>
        </w:rPr>
        <w:t>3．资金使用：</w:t>
      </w:r>
      <w:r>
        <w:rPr>
          <w:rFonts w:hint="eastAsia"/>
        </w:rPr>
        <w:t>截至2020年12月底评审中心购买评审辅助服务项目决算支出385.09万元（其中评审中心专业技术人员服务费支出275.43万元，协作机构评审业务费支出109.66万元），预算执行率92.45%。</w:t>
      </w:r>
    </w:p>
    <w:p>
      <w:pPr>
        <w:spacing w:line="620" w:lineRule="exact"/>
        <w:ind w:firstLine="646" w:firstLineChars="200"/>
        <w:rPr>
          <w:rFonts w:hint="eastAsia" w:ascii="楷体_GB2312" w:eastAsia="楷体_GB2312"/>
        </w:rPr>
      </w:pPr>
      <w:r>
        <w:rPr>
          <w:rFonts w:hint="eastAsia" w:ascii="楷体_GB2312" w:eastAsia="楷体_GB2312"/>
        </w:rPr>
        <w:t>（三）项目财务管理情况。</w:t>
      </w:r>
    </w:p>
    <w:p>
      <w:pPr>
        <w:spacing w:line="620" w:lineRule="exact"/>
        <w:ind w:firstLine="646" w:firstLineChars="200"/>
        <w:rPr>
          <w:rFonts w:hint="eastAsia"/>
        </w:rPr>
      </w:pPr>
      <w:r>
        <w:rPr>
          <w:rFonts w:hint="eastAsia"/>
        </w:rPr>
        <w:t>项目支出主要为两方面，其中人员经费支出严格按照中心《专业技术人员工资管理办法》执行，主要由基本工资及评审项目效益工资构成；协作机构评审业务费参照《四川省物价局、省建设厅关于〈工程造价咨询服务收费标准〉的通知》（川价发〔2008〕141号）文件规定标准及说明结合市场行情下浮一定比例执行。无截留、挤占、挪用、虚列支出等情况。</w:t>
      </w:r>
    </w:p>
    <w:p>
      <w:pPr>
        <w:spacing w:line="620" w:lineRule="exact"/>
        <w:ind w:firstLine="646" w:firstLineChars="200"/>
        <w:rPr>
          <w:rFonts w:hint="eastAsia" w:ascii="黑体" w:hAnsi="黑体" w:eastAsia="黑体"/>
        </w:rPr>
      </w:pPr>
      <w:r>
        <w:rPr>
          <w:rFonts w:hint="eastAsia" w:ascii="黑体" w:hAnsi="黑体" w:eastAsia="黑体"/>
        </w:rPr>
        <w:t>三、项目实施及管理情况</w:t>
      </w:r>
    </w:p>
    <w:p>
      <w:pPr>
        <w:spacing w:line="620" w:lineRule="exact"/>
        <w:ind w:firstLine="646" w:firstLineChars="200"/>
        <w:rPr>
          <w:rFonts w:hint="eastAsia" w:ascii="楷体_GB2312" w:eastAsia="楷体_GB2312"/>
        </w:rPr>
      </w:pPr>
      <w:r>
        <w:rPr>
          <w:rFonts w:hint="eastAsia" w:ascii="楷体_GB2312" w:eastAsia="楷体_GB2312"/>
        </w:rPr>
        <w:t>（一）项目组织架构及实施流程。</w:t>
      </w:r>
    </w:p>
    <w:p>
      <w:pPr>
        <w:spacing w:line="620" w:lineRule="exact"/>
        <w:ind w:firstLine="646" w:firstLineChars="200"/>
        <w:rPr>
          <w:rFonts w:hint="eastAsia"/>
        </w:rPr>
      </w:pPr>
      <w:r>
        <w:rPr>
          <w:rFonts w:hint="eastAsia"/>
          <w:b/>
        </w:rPr>
        <w:t>1.</w:t>
      </w:r>
      <w:r>
        <w:rPr>
          <w:b/>
        </w:rPr>
        <w:t xml:space="preserve"> </w:t>
      </w:r>
      <w:r>
        <w:rPr>
          <w:rFonts w:hint="eastAsia"/>
          <w:b/>
        </w:rPr>
        <w:t>程序严密：</w:t>
      </w:r>
      <w:r>
        <w:rPr>
          <w:rFonts w:hint="eastAsia"/>
        </w:rPr>
        <w:t>专业技术人员固定稳定，薪酬管理办法完善；协作机构固定，协作费用管理办法完善。</w:t>
      </w:r>
    </w:p>
    <w:p>
      <w:pPr>
        <w:spacing w:line="620" w:lineRule="exact"/>
        <w:ind w:firstLine="646" w:firstLineChars="200"/>
        <w:rPr>
          <w:rFonts w:hint="eastAsia"/>
        </w:rPr>
      </w:pPr>
      <w:r>
        <w:rPr>
          <w:rFonts w:hint="eastAsia"/>
          <w:b/>
        </w:rPr>
        <w:t>2.</w:t>
      </w:r>
      <w:r>
        <w:rPr>
          <w:b/>
        </w:rPr>
        <w:t xml:space="preserve"> </w:t>
      </w:r>
      <w:r>
        <w:rPr>
          <w:rFonts w:hint="eastAsia"/>
          <w:b/>
        </w:rPr>
        <w:t>规划合理：</w:t>
      </w:r>
      <w:r>
        <w:rPr>
          <w:rFonts w:hint="eastAsia"/>
        </w:rPr>
        <w:t>评审项目符合财政部财政评审管理办法及我市财政评审管理办法，预算目标符合趋势发展要求。</w:t>
      </w:r>
    </w:p>
    <w:p>
      <w:pPr>
        <w:spacing w:line="620" w:lineRule="exact"/>
        <w:ind w:firstLine="646" w:firstLineChars="200"/>
        <w:rPr>
          <w:rFonts w:hint="eastAsia" w:ascii="楷体_GB2312" w:eastAsia="楷体_GB2312"/>
        </w:rPr>
      </w:pPr>
      <w:r>
        <w:rPr>
          <w:rFonts w:hint="eastAsia" w:ascii="楷体_GB2312" w:eastAsia="楷体_GB2312"/>
        </w:rPr>
        <w:t>（二）项目管理情况。</w:t>
      </w:r>
    </w:p>
    <w:p>
      <w:pPr>
        <w:spacing w:line="620" w:lineRule="exact"/>
        <w:ind w:firstLine="646" w:firstLineChars="200"/>
        <w:rPr>
          <w:rFonts w:hint="eastAsia"/>
        </w:rPr>
      </w:pPr>
      <w:r>
        <w:rPr>
          <w:rFonts w:hint="eastAsia"/>
          <w:b/>
        </w:rPr>
        <w:t>1.</w:t>
      </w:r>
      <w:r>
        <w:rPr>
          <w:b/>
        </w:rPr>
        <w:t xml:space="preserve"> </w:t>
      </w:r>
      <w:r>
        <w:rPr>
          <w:rFonts w:hint="eastAsia"/>
          <w:b/>
        </w:rPr>
        <w:t>分配合理：</w:t>
      </w:r>
      <w:r>
        <w:rPr>
          <w:rFonts w:hint="eastAsia"/>
        </w:rPr>
        <w:t>据实据效分配，与规划支持方向一致。</w:t>
      </w:r>
    </w:p>
    <w:p>
      <w:pPr>
        <w:spacing w:line="620" w:lineRule="exact"/>
        <w:ind w:firstLine="646" w:firstLineChars="200"/>
        <w:rPr>
          <w:rFonts w:hint="eastAsia"/>
        </w:rPr>
      </w:pPr>
      <w:r>
        <w:rPr>
          <w:rFonts w:hint="eastAsia"/>
          <w:b/>
        </w:rPr>
        <w:t>2.</w:t>
      </w:r>
      <w:r>
        <w:rPr>
          <w:b/>
        </w:rPr>
        <w:t xml:space="preserve"> </w:t>
      </w:r>
      <w:r>
        <w:rPr>
          <w:rFonts w:hint="eastAsia"/>
          <w:b/>
        </w:rPr>
        <w:t>使用合规：</w:t>
      </w:r>
      <w:r>
        <w:rPr>
          <w:rFonts w:hint="eastAsia"/>
        </w:rPr>
        <w:t>资金使用符合财经法规和财务管理制度，无截留、挤占、挪用、虚列支出等情况。</w:t>
      </w:r>
    </w:p>
    <w:p>
      <w:pPr>
        <w:spacing w:line="620" w:lineRule="exact"/>
        <w:ind w:firstLine="646" w:firstLineChars="200"/>
        <w:rPr>
          <w:rFonts w:hint="eastAsia"/>
        </w:rPr>
      </w:pPr>
      <w:r>
        <w:rPr>
          <w:rFonts w:hint="eastAsia"/>
          <w:b/>
        </w:rPr>
        <w:t>3.</w:t>
      </w:r>
      <w:r>
        <w:rPr>
          <w:b/>
        </w:rPr>
        <w:t xml:space="preserve"> </w:t>
      </w:r>
      <w:r>
        <w:rPr>
          <w:rFonts w:hint="eastAsia"/>
          <w:b/>
        </w:rPr>
        <w:t>执行有效：</w:t>
      </w:r>
      <w:r>
        <w:rPr>
          <w:rFonts w:hint="eastAsia"/>
        </w:rPr>
        <w:t>评审项目符合财政评审管理要求，资金用途符合项目管理具体要求。</w:t>
      </w:r>
    </w:p>
    <w:p>
      <w:pPr>
        <w:spacing w:line="620" w:lineRule="exact"/>
        <w:ind w:firstLine="646" w:firstLineChars="200"/>
        <w:rPr>
          <w:rFonts w:hint="eastAsia" w:ascii="楷体_GB2312" w:eastAsia="楷体_GB2312"/>
        </w:rPr>
      </w:pPr>
      <w:r>
        <w:rPr>
          <w:rFonts w:hint="eastAsia" w:ascii="楷体_GB2312" w:eastAsia="楷体_GB2312"/>
        </w:rPr>
        <w:t>（三）项目监管情况。</w:t>
      </w:r>
    </w:p>
    <w:p>
      <w:pPr>
        <w:spacing w:line="620" w:lineRule="exact"/>
        <w:ind w:firstLine="646" w:firstLineChars="200"/>
        <w:rPr>
          <w:rFonts w:hint="eastAsia"/>
        </w:rPr>
      </w:pPr>
      <w:r>
        <w:rPr>
          <w:rFonts w:hint="eastAsia"/>
        </w:rPr>
        <w:t>项目经费由评审中心具体管理并按相关管理制度严格执行，对项目资金按项目单独核算实行“专款专用”，无挤占挪用项目资金现象。</w:t>
      </w:r>
    </w:p>
    <w:p>
      <w:pPr>
        <w:spacing w:line="620" w:lineRule="exact"/>
        <w:ind w:firstLine="646" w:firstLineChars="200"/>
        <w:rPr>
          <w:rFonts w:hint="eastAsia" w:ascii="黑体" w:hAnsi="黑体" w:eastAsia="黑体"/>
        </w:rPr>
      </w:pPr>
      <w:r>
        <w:rPr>
          <w:rFonts w:hint="eastAsia" w:ascii="黑体" w:hAnsi="黑体" w:eastAsia="黑体"/>
        </w:rPr>
        <w:t>四、项目绩效情况</w:t>
      </w:r>
      <w:r>
        <w:rPr>
          <w:rFonts w:hint="eastAsia" w:ascii="黑体" w:hAnsi="黑体" w:eastAsia="黑体"/>
        </w:rPr>
        <w:tab/>
      </w:r>
    </w:p>
    <w:p>
      <w:pPr>
        <w:spacing w:line="620" w:lineRule="exact"/>
        <w:ind w:firstLine="646" w:firstLineChars="200"/>
        <w:rPr>
          <w:rFonts w:hint="eastAsia" w:ascii="楷体_GB2312" w:eastAsia="楷体_GB2312"/>
        </w:rPr>
      </w:pPr>
      <w:r>
        <w:rPr>
          <w:rFonts w:hint="eastAsia" w:ascii="楷体_GB2312" w:eastAsia="楷体_GB2312"/>
        </w:rPr>
        <w:t>（一）项目完成情况。</w:t>
      </w:r>
    </w:p>
    <w:p>
      <w:pPr>
        <w:spacing w:line="620" w:lineRule="exact"/>
        <w:ind w:firstLine="646" w:firstLineChars="200"/>
        <w:rPr>
          <w:rFonts w:hint="eastAsia"/>
        </w:rPr>
      </w:pPr>
      <w:r>
        <w:rPr>
          <w:rFonts w:hint="eastAsia"/>
          <w:b/>
        </w:rPr>
        <w:t>1.</w:t>
      </w:r>
      <w:r>
        <w:rPr>
          <w:b/>
        </w:rPr>
        <w:t xml:space="preserve"> </w:t>
      </w:r>
      <w:r>
        <w:rPr>
          <w:rFonts w:hint="eastAsia"/>
          <w:b/>
        </w:rPr>
        <w:t>预算完成：</w:t>
      </w:r>
      <w:r>
        <w:rPr>
          <w:rFonts w:hint="eastAsia"/>
        </w:rPr>
        <w:t>年度支出决算385.09万元，预算完成率92.45%。</w:t>
      </w:r>
    </w:p>
    <w:p>
      <w:pPr>
        <w:spacing w:line="620" w:lineRule="exact"/>
        <w:ind w:firstLine="646" w:firstLineChars="200"/>
        <w:rPr>
          <w:rFonts w:hint="eastAsia"/>
        </w:rPr>
      </w:pPr>
      <w:r>
        <w:rPr>
          <w:rFonts w:hint="eastAsia"/>
          <w:b/>
        </w:rPr>
        <w:t>2.</w:t>
      </w:r>
      <w:r>
        <w:rPr>
          <w:b/>
        </w:rPr>
        <w:t xml:space="preserve"> </w:t>
      </w:r>
      <w:r>
        <w:rPr>
          <w:rFonts w:hint="eastAsia"/>
          <w:b/>
        </w:rPr>
        <w:t>目标完成：</w:t>
      </w:r>
      <w:r>
        <w:rPr>
          <w:rFonts w:hint="eastAsia"/>
        </w:rPr>
        <w:t>年度评审任务申报目标300个、平均审减率10%，实际完成339个、平均审减率11.32%，均超出绩效目标；委托评审目标任务5个，实际完成4个，完成率80%。</w:t>
      </w:r>
    </w:p>
    <w:p>
      <w:pPr>
        <w:spacing w:line="620" w:lineRule="exact"/>
        <w:ind w:firstLine="646" w:firstLineChars="200"/>
        <w:rPr>
          <w:rFonts w:hint="eastAsia" w:ascii="楷体_GB2312" w:eastAsia="楷体_GB2312"/>
        </w:rPr>
      </w:pPr>
      <w:r>
        <w:rPr>
          <w:rFonts w:hint="eastAsia" w:ascii="楷体_GB2312" w:eastAsia="楷体_GB2312"/>
        </w:rPr>
        <w:t>（二）项目效益情况。</w:t>
      </w:r>
    </w:p>
    <w:p>
      <w:pPr>
        <w:spacing w:line="620" w:lineRule="exact"/>
        <w:ind w:firstLine="646" w:firstLineChars="200"/>
        <w:rPr>
          <w:rFonts w:hint="eastAsia"/>
        </w:rPr>
      </w:pPr>
      <w:r>
        <w:rPr>
          <w:rFonts w:hint="eastAsia"/>
          <w:b/>
        </w:rPr>
        <w:t>1.</w:t>
      </w:r>
      <w:r>
        <w:rPr>
          <w:b/>
        </w:rPr>
        <w:t xml:space="preserve"> </w:t>
      </w:r>
      <w:r>
        <w:rPr>
          <w:rFonts w:hint="eastAsia"/>
          <w:b/>
        </w:rPr>
        <w:t>项目效果：</w:t>
      </w:r>
      <w:r>
        <w:rPr>
          <w:rFonts w:hint="eastAsia"/>
        </w:rPr>
        <w:t>预算申报科学合理，资金分配符合中心管理办法；评审结论均通过项目单位认可，评审结果公平；评审项目339个，收回339份《评审人员工作情况反馈意见表》，对评审工作作风、态度、效率及遵守廉政纪律等满意度100%。</w:t>
      </w:r>
    </w:p>
    <w:p>
      <w:pPr>
        <w:spacing w:line="620" w:lineRule="exact"/>
        <w:ind w:firstLine="646" w:firstLineChars="200"/>
        <w:rPr>
          <w:rFonts w:hint="eastAsia"/>
        </w:rPr>
      </w:pPr>
      <w:r>
        <w:rPr>
          <w:rFonts w:hint="eastAsia"/>
          <w:b/>
        </w:rPr>
        <w:t>2.</w:t>
      </w:r>
      <w:r>
        <w:rPr>
          <w:b/>
        </w:rPr>
        <w:t xml:space="preserve"> </w:t>
      </w:r>
      <w:r>
        <w:rPr>
          <w:rFonts w:hint="eastAsia"/>
          <w:b/>
        </w:rPr>
        <w:t>经济效益：</w:t>
      </w:r>
      <w:r>
        <w:rPr>
          <w:rFonts w:hint="eastAsia"/>
        </w:rPr>
        <w:t>评审项目339个，节约财政预决算资金7.44亿元，评审个数、平均审减率均超过目标任务。</w:t>
      </w:r>
    </w:p>
    <w:p>
      <w:pPr>
        <w:spacing w:line="620" w:lineRule="exact"/>
        <w:ind w:firstLine="646" w:firstLineChars="200"/>
        <w:rPr>
          <w:rFonts w:hint="eastAsia"/>
        </w:rPr>
      </w:pPr>
      <w:r>
        <w:rPr>
          <w:rFonts w:hint="eastAsia"/>
          <w:b/>
        </w:rPr>
        <w:t>3.</w:t>
      </w:r>
      <w:r>
        <w:rPr>
          <w:b/>
        </w:rPr>
        <w:t xml:space="preserve"> </w:t>
      </w:r>
      <w:r>
        <w:rPr>
          <w:rFonts w:hint="eastAsia"/>
          <w:b/>
        </w:rPr>
        <w:t>社会效益：</w:t>
      </w:r>
      <w:r>
        <w:rPr>
          <w:rFonts w:hint="eastAsia"/>
        </w:rPr>
        <w:t>评审任务应评尽评，评审结论公正，评审报告及时，评审态度端正，社会反应良好。</w:t>
      </w:r>
    </w:p>
    <w:p>
      <w:pPr>
        <w:spacing w:line="620" w:lineRule="exact"/>
        <w:ind w:firstLine="646" w:firstLineChars="200"/>
        <w:rPr>
          <w:rFonts w:hint="eastAsia" w:ascii="黑体" w:hAnsi="黑体" w:eastAsia="黑体"/>
        </w:rPr>
      </w:pPr>
      <w:r>
        <w:rPr>
          <w:rFonts w:hint="eastAsia" w:ascii="黑体" w:hAnsi="黑体" w:eastAsia="黑体"/>
        </w:rPr>
        <w:t>五、评价结论及建议</w:t>
      </w:r>
    </w:p>
    <w:p>
      <w:pPr>
        <w:spacing w:line="620" w:lineRule="exact"/>
        <w:ind w:firstLine="646" w:firstLineChars="200"/>
        <w:rPr>
          <w:rFonts w:hint="eastAsia" w:ascii="楷体_GB2312" w:eastAsia="楷体_GB2312"/>
        </w:rPr>
      </w:pPr>
      <w:r>
        <w:rPr>
          <w:rFonts w:hint="eastAsia" w:ascii="楷体_GB2312" w:eastAsia="楷体_GB2312"/>
        </w:rPr>
        <w:t>（一）评价结论。</w:t>
      </w:r>
    </w:p>
    <w:p>
      <w:pPr>
        <w:spacing w:line="620" w:lineRule="exact"/>
        <w:ind w:firstLine="646" w:firstLineChars="200"/>
        <w:rPr>
          <w:rFonts w:hint="eastAsia"/>
        </w:rPr>
      </w:pPr>
      <w:r>
        <w:rPr>
          <w:rFonts w:hint="eastAsia"/>
        </w:rPr>
        <w:t>项目申报目标具体细化并符合实际需求，项目各项管理制度建立健全并得以贯彻落实，资金使用和财务管理规范，预算执行情况良好，项目经济效益和社会效益良好。</w:t>
      </w:r>
    </w:p>
    <w:p>
      <w:pPr>
        <w:spacing w:line="620" w:lineRule="exact"/>
        <w:ind w:firstLine="646" w:firstLineChars="200"/>
        <w:rPr>
          <w:rFonts w:hint="eastAsia" w:ascii="楷体_GB2312" w:eastAsia="楷体_GB2312"/>
        </w:rPr>
      </w:pPr>
      <w:r>
        <w:rPr>
          <w:rFonts w:hint="eastAsia" w:ascii="楷体_GB2312" w:eastAsia="楷体_GB2312"/>
        </w:rPr>
        <w:t>（二）存在的问题。</w:t>
      </w:r>
    </w:p>
    <w:p>
      <w:pPr>
        <w:spacing w:line="620" w:lineRule="exact"/>
        <w:ind w:firstLine="646" w:firstLineChars="200"/>
        <w:rPr>
          <w:rFonts w:hint="eastAsia"/>
        </w:rPr>
      </w:pPr>
      <w:r>
        <w:rPr>
          <w:rFonts w:hint="eastAsia"/>
        </w:rPr>
        <w:t>委托评审目标任务5个，实际完成4个，完成率80%。</w:t>
      </w:r>
    </w:p>
    <w:p>
      <w:pPr>
        <w:spacing w:line="620" w:lineRule="exact"/>
        <w:ind w:firstLine="646" w:firstLineChars="200"/>
        <w:rPr>
          <w:rFonts w:hint="eastAsia" w:ascii="楷体_GB2312" w:eastAsia="楷体_GB2312"/>
        </w:rPr>
      </w:pPr>
      <w:r>
        <w:rPr>
          <w:rFonts w:hint="eastAsia" w:ascii="楷体_GB2312" w:eastAsia="楷体_GB2312"/>
        </w:rPr>
        <w:t>（三）相关建议。</w:t>
      </w:r>
    </w:p>
    <w:p>
      <w:pPr>
        <w:spacing w:line="620" w:lineRule="exact"/>
        <w:ind w:firstLine="646" w:firstLineChars="200"/>
      </w:pPr>
      <w:r>
        <w:rPr>
          <w:rFonts w:hint="eastAsia"/>
        </w:rPr>
        <w:t>无。</w:t>
      </w:r>
    </w:p>
    <w:p>
      <w:pPr>
        <w:pStyle w:val="3"/>
        <w:keepNext w:val="0"/>
        <w:keepLines w:val="0"/>
        <w:overflowPunct w:val="0"/>
        <w:topLinePunct/>
        <w:spacing w:before="0" w:after="0" w:line="620" w:lineRule="exact"/>
        <w:rPr>
          <w:rFonts w:hint="eastAsia" w:ascii="黑体" w:hAnsi="黑体" w:eastAsia="黑体"/>
          <w:b w:val="0"/>
          <w:color w:val="000000"/>
        </w:rPr>
      </w:pPr>
      <w:r>
        <w:br w:type="page"/>
      </w:r>
      <w:bookmarkStart w:id="21" w:name="_Toc80262652"/>
      <w:r>
        <w:rPr>
          <w:rFonts w:hint="eastAsia" w:ascii="黑体" w:hAnsi="黑体" w:eastAsia="黑体"/>
          <w:b w:val="0"/>
          <w:color w:val="000000"/>
        </w:rPr>
        <w:t>附件2-1</w:t>
      </w:r>
      <w:bookmarkEnd w:id="21"/>
    </w:p>
    <w:p>
      <w:pPr>
        <w:spacing w:line="620" w:lineRule="exact"/>
      </w:pP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信息化建设及运维项目</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2020年绩效评价自评报告</w:t>
      </w:r>
    </w:p>
    <w:p>
      <w:pPr>
        <w:spacing w:line="620" w:lineRule="exact"/>
        <w:ind w:firstLine="646" w:firstLineChars="200"/>
      </w:pPr>
    </w:p>
    <w:p>
      <w:pPr>
        <w:spacing w:line="620" w:lineRule="exact"/>
        <w:ind w:firstLine="646" w:firstLineChars="200"/>
        <w:rPr>
          <w:rFonts w:hint="eastAsia" w:ascii="黑体" w:hAnsi="黑体" w:eastAsia="黑体"/>
        </w:rPr>
      </w:pPr>
      <w:r>
        <w:rPr>
          <w:rFonts w:hint="eastAsia" w:ascii="黑体" w:hAnsi="黑体" w:eastAsia="黑体"/>
        </w:rPr>
        <w:t>一、项目概况</w:t>
      </w:r>
    </w:p>
    <w:p>
      <w:pPr>
        <w:spacing w:line="620" w:lineRule="exact"/>
        <w:ind w:firstLine="646" w:firstLineChars="200"/>
        <w:rPr>
          <w:rFonts w:hint="eastAsia" w:ascii="楷体_GB2312" w:eastAsia="楷体_GB2312"/>
        </w:rPr>
      </w:pPr>
      <w:r>
        <w:rPr>
          <w:rFonts w:hint="eastAsia" w:ascii="楷体_GB2312" w:eastAsia="楷体_GB2312"/>
        </w:rPr>
        <w:t>（一）项目基本情况。</w:t>
      </w:r>
    </w:p>
    <w:p>
      <w:pPr>
        <w:spacing w:line="620" w:lineRule="exact"/>
        <w:ind w:firstLine="646" w:firstLineChars="200"/>
        <w:rPr>
          <w:rFonts w:hint="eastAsia"/>
          <w:b/>
        </w:rPr>
      </w:pPr>
      <w:r>
        <w:rPr>
          <w:rFonts w:hint="eastAsia"/>
          <w:b/>
        </w:rPr>
        <w:t>1．项目主管部门在该项目管理中的职能。</w:t>
      </w:r>
    </w:p>
    <w:p>
      <w:pPr>
        <w:spacing w:line="620" w:lineRule="exact"/>
        <w:ind w:firstLine="646" w:firstLineChars="200"/>
        <w:rPr>
          <w:rFonts w:hint="eastAsia"/>
        </w:rPr>
      </w:pPr>
      <w:r>
        <w:rPr>
          <w:rFonts w:hint="eastAsia"/>
        </w:rPr>
        <w:t>负责该项目建设总体规划、年度计划的制定和实施；负责该项目建设和日常运维管理；落实资产管理责任制，确保工作效率。</w:t>
      </w:r>
    </w:p>
    <w:p>
      <w:pPr>
        <w:spacing w:line="620" w:lineRule="exact"/>
        <w:ind w:firstLine="646" w:firstLineChars="200"/>
        <w:rPr>
          <w:rFonts w:hint="eastAsia"/>
          <w:b/>
        </w:rPr>
      </w:pPr>
      <w:r>
        <w:rPr>
          <w:rFonts w:hint="eastAsia"/>
          <w:b/>
        </w:rPr>
        <w:t>2. 项目立项、资金申报的依据。</w:t>
      </w:r>
    </w:p>
    <w:p>
      <w:pPr>
        <w:spacing w:line="620" w:lineRule="exact"/>
        <w:ind w:firstLine="646" w:firstLineChars="200"/>
        <w:rPr>
          <w:rFonts w:hint="eastAsia"/>
        </w:rPr>
      </w:pPr>
      <w:r>
        <w:rPr>
          <w:rFonts w:hint="eastAsia"/>
        </w:rPr>
        <w:t>该项目预算的主要因素是需支付广联达计量软件年租及宏业计价软件年升级费用的中心工程软件用户使用数量，不执行建设项目需立项管理。资金申报按上年度使用工程软件数量5台份、实际支付费用标准计算申报。</w:t>
      </w:r>
    </w:p>
    <w:p>
      <w:pPr>
        <w:spacing w:line="620" w:lineRule="exact"/>
        <w:ind w:firstLine="646" w:firstLineChars="200"/>
        <w:rPr>
          <w:rFonts w:hint="eastAsia"/>
          <w:b/>
        </w:rPr>
      </w:pPr>
      <w:r>
        <w:rPr>
          <w:rFonts w:hint="eastAsia"/>
          <w:b/>
        </w:rPr>
        <w:t>3. 资金管理办法制定情况，资金支持具体项目的条件、范围与支持方式概况。</w:t>
      </w:r>
    </w:p>
    <w:p>
      <w:pPr>
        <w:spacing w:line="620" w:lineRule="exact"/>
        <w:ind w:firstLine="646" w:firstLineChars="200"/>
        <w:rPr>
          <w:rFonts w:hint="eastAsia"/>
        </w:rPr>
      </w:pPr>
      <w:r>
        <w:rPr>
          <w:rFonts w:hint="eastAsia"/>
        </w:rPr>
        <w:t>资金管理按评审中心制定的项目资金管理办法进行管理。申报资金符合中心发展及实际工作需求，也符合财政资金支持范围和方向。</w:t>
      </w:r>
    </w:p>
    <w:p>
      <w:pPr>
        <w:spacing w:line="620" w:lineRule="exact"/>
        <w:ind w:firstLine="646" w:firstLineChars="200"/>
        <w:rPr>
          <w:rFonts w:hint="eastAsia"/>
          <w:b/>
        </w:rPr>
      </w:pPr>
      <w:r>
        <w:rPr>
          <w:rFonts w:hint="eastAsia"/>
          <w:b/>
        </w:rPr>
        <w:t>4．资金分配的原则及考虑因素。</w:t>
      </w:r>
    </w:p>
    <w:p>
      <w:pPr>
        <w:spacing w:line="620" w:lineRule="exact"/>
        <w:ind w:firstLine="646" w:firstLineChars="200"/>
        <w:rPr>
          <w:rFonts w:hint="eastAsia"/>
        </w:rPr>
      </w:pPr>
      <w:r>
        <w:rPr>
          <w:rFonts w:hint="eastAsia"/>
        </w:rPr>
        <w:t>资金分配原则为据实分配，考虑的因素为上年度使用数量、本年度业务发展需求、固定资产当年购置计划等。</w:t>
      </w:r>
    </w:p>
    <w:p>
      <w:pPr>
        <w:spacing w:line="620" w:lineRule="exact"/>
        <w:ind w:firstLine="646" w:firstLineChars="200"/>
        <w:rPr>
          <w:rFonts w:hint="eastAsia" w:ascii="楷体_GB2312" w:eastAsia="楷体_GB2312"/>
        </w:rPr>
      </w:pPr>
      <w:r>
        <w:rPr>
          <w:rFonts w:hint="eastAsia" w:ascii="楷体_GB2312" w:eastAsia="楷体_GB2312"/>
        </w:rPr>
        <w:t>（二）项目绩效目标。</w:t>
      </w:r>
    </w:p>
    <w:p>
      <w:pPr>
        <w:spacing w:line="620" w:lineRule="exact"/>
        <w:ind w:firstLine="646" w:firstLineChars="200"/>
        <w:rPr>
          <w:rFonts w:hint="eastAsia"/>
        </w:rPr>
      </w:pPr>
      <w:r>
        <w:rPr>
          <w:rFonts w:hint="eastAsia"/>
        </w:rPr>
        <w:t>1．项目主要内容。</w:t>
      </w:r>
    </w:p>
    <w:p>
      <w:pPr>
        <w:spacing w:line="620" w:lineRule="exact"/>
        <w:ind w:firstLine="646" w:firstLineChars="200"/>
        <w:rPr>
          <w:rFonts w:hint="eastAsia"/>
        </w:rPr>
      </w:pPr>
      <w:r>
        <w:rPr>
          <w:rFonts w:hint="eastAsia"/>
        </w:rPr>
        <w:t>我中心5台工程软件用户使用广联达计量软件年租及宏业计价软件年升级费用。</w:t>
      </w:r>
    </w:p>
    <w:p>
      <w:pPr>
        <w:spacing w:line="620" w:lineRule="exact"/>
        <w:ind w:firstLine="646" w:firstLineChars="200"/>
      </w:pPr>
      <w:r>
        <w:rPr>
          <w:rFonts w:hint="eastAsia"/>
        </w:rPr>
        <w:t>2. 项目应实现的具体绩效目标，包括目标的量化、细化情况以及项目实施进度计划等详见下表《项目绩效目标情况表》。</w:t>
      </w:r>
    </w:p>
    <w:p>
      <w:pPr>
        <w:spacing w:line="620" w:lineRule="exact"/>
        <w:jc w:val="center"/>
        <w:rPr>
          <w:rFonts w:hint="eastAsia" w:ascii="黑体" w:hAnsi="黑体" w:eastAsia="黑体"/>
        </w:rPr>
      </w:pPr>
      <w:r>
        <w:rPr>
          <w:rFonts w:hint="eastAsia" w:ascii="黑体" w:hAnsi="黑体" w:eastAsia="黑体"/>
        </w:rPr>
        <w:t>项目绩效目标情况表</w:t>
      </w:r>
    </w:p>
    <w:p>
      <w:pPr>
        <w:spacing w:line="620" w:lineRule="exact"/>
        <w:jc w:val="center"/>
      </w:pPr>
      <w:r>
        <w:rPr>
          <w:rFonts w:hint="eastAsia"/>
        </w:rPr>
        <w:t>（2020年度）</w:t>
      </w:r>
    </w:p>
    <w:tbl>
      <w:tblPr>
        <w:tblStyle w:val="10"/>
        <w:tblpPr w:leftFromText="180" w:rightFromText="180" w:vertAnchor="text" w:horzAnchor="page" w:tblpXSpec="center" w:tblpY="423"/>
        <w:tblOverlap w:val="never"/>
        <w:tblW w:w="9065" w:type="dxa"/>
        <w:jc w:val="center"/>
        <w:tblLayout w:type="fixed"/>
        <w:tblCellMar>
          <w:top w:w="0" w:type="dxa"/>
          <w:left w:w="0" w:type="dxa"/>
          <w:bottom w:w="0" w:type="dxa"/>
          <w:right w:w="0" w:type="dxa"/>
        </w:tblCellMar>
      </w:tblPr>
      <w:tblGrid>
        <w:gridCol w:w="424"/>
        <w:gridCol w:w="1433"/>
        <w:gridCol w:w="1274"/>
        <w:gridCol w:w="1626"/>
        <w:gridCol w:w="4308"/>
      </w:tblGrid>
      <w:tr>
        <w:tblPrEx>
          <w:tblCellMar>
            <w:top w:w="0" w:type="dxa"/>
            <w:left w:w="0" w:type="dxa"/>
            <w:bottom w:w="0" w:type="dxa"/>
            <w:right w:w="0" w:type="dxa"/>
          </w:tblCellMar>
        </w:tblPrEx>
        <w:trPr>
          <w:wBefore w:w="0" w:type="dxa"/>
          <w:wAfter w:w="0" w:type="dxa"/>
          <w:trHeight w:val="465" w:hRule="atLeast"/>
          <w:jc w:val="center"/>
        </w:trPr>
        <w:tc>
          <w:tcPr>
            <w:tcW w:w="31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项目名称</w:t>
            </w:r>
          </w:p>
        </w:tc>
        <w:tc>
          <w:tcPr>
            <w:tcW w:w="5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信息化建设及运维项目</w:t>
            </w:r>
          </w:p>
        </w:tc>
      </w:tr>
      <w:tr>
        <w:trPr>
          <w:wBefore w:w="0" w:type="dxa"/>
          <w:wAfter w:w="0" w:type="dxa"/>
          <w:trHeight w:val="465" w:hRule="atLeast"/>
          <w:jc w:val="center"/>
        </w:trPr>
        <w:tc>
          <w:tcPr>
            <w:tcW w:w="31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预算单位</w:t>
            </w:r>
          </w:p>
        </w:tc>
        <w:tc>
          <w:tcPr>
            <w:tcW w:w="5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遂宁市政府投资评审中心</w:t>
            </w:r>
          </w:p>
        </w:tc>
      </w:tr>
      <w:tr>
        <w:tblPrEx>
          <w:tblCellMar>
            <w:top w:w="0" w:type="dxa"/>
            <w:left w:w="0" w:type="dxa"/>
            <w:bottom w:w="0" w:type="dxa"/>
            <w:right w:w="0" w:type="dxa"/>
          </w:tblCellMar>
        </w:tblPrEx>
        <w:trPr>
          <w:wBefore w:w="0" w:type="dxa"/>
          <w:wAfter w:w="0" w:type="dxa"/>
          <w:trHeight w:val="429" w:hRule="atLeast"/>
          <w:jc w:val="center"/>
        </w:trPr>
        <w:tc>
          <w:tcPr>
            <w:tcW w:w="90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预算数:3万元</w:t>
            </w:r>
          </w:p>
        </w:tc>
      </w:tr>
      <w:tr>
        <w:trPr>
          <w:wBefore w:w="0" w:type="dxa"/>
          <w:wAfter w:w="0" w:type="dxa"/>
          <w:trHeight w:val="564" w:hRule="atLeast"/>
          <w:jc w:val="center"/>
        </w:trPr>
        <w:tc>
          <w:tcPr>
            <w:tcW w:w="90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预期目标：保障评审工作顺利进行</w:t>
            </w:r>
          </w:p>
        </w:tc>
      </w:tr>
      <w:tr>
        <w:tblPrEx>
          <w:tblCellMar>
            <w:top w:w="0" w:type="dxa"/>
            <w:left w:w="0" w:type="dxa"/>
            <w:bottom w:w="0" w:type="dxa"/>
            <w:right w:w="0" w:type="dxa"/>
          </w:tblCellMar>
        </w:tblPrEx>
        <w:trPr>
          <w:wBefore w:w="0" w:type="dxa"/>
          <w:wAfter w:w="0" w:type="dxa"/>
          <w:trHeight w:val="568" w:hRule="atLeast"/>
          <w:jc w:val="center"/>
        </w:trPr>
        <w:tc>
          <w:tcPr>
            <w:tcW w:w="42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绩效目标情况</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一级指标</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二级指标</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三级指标</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预期指标值(包含数字及文字描述)</w:t>
            </w:r>
          </w:p>
        </w:tc>
      </w:tr>
      <w:tr>
        <w:trPr>
          <w:wBefore w:w="0" w:type="dxa"/>
          <w:wAfter w:w="0" w:type="dxa"/>
          <w:trHeight w:val="684" w:hRule="atLeast"/>
          <w:jc w:val="center"/>
        </w:trPr>
        <w:tc>
          <w:tcPr>
            <w:tcW w:w="42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数量指标</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开展工程造价评审工作</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约50项</w:t>
            </w:r>
          </w:p>
        </w:tc>
      </w:tr>
      <w:tr>
        <w:tblPrEx>
          <w:tblCellMar>
            <w:top w:w="0" w:type="dxa"/>
            <w:left w:w="0" w:type="dxa"/>
            <w:bottom w:w="0" w:type="dxa"/>
            <w:right w:w="0" w:type="dxa"/>
          </w:tblCellMar>
        </w:tblPrEx>
        <w:trPr>
          <w:wBefore w:w="0" w:type="dxa"/>
          <w:wAfter w:w="0" w:type="dxa"/>
          <w:trHeight w:val="666" w:hRule="atLeast"/>
          <w:jc w:val="center"/>
        </w:trPr>
        <w:tc>
          <w:tcPr>
            <w:tcW w:w="42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质量指标</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软件升级</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宋体" w:hAnsi="宋体" w:eastAsia="宋体" w:cs="宋体"/>
                <w:color w:val="000000"/>
                <w:sz w:val="22"/>
              </w:rPr>
            </w:pPr>
            <w:r>
              <w:rPr>
                <w:rFonts w:hint="eastAsia" w:ascii="宋体" w:hAnsi="宋体" w:eastAsia="宋体" w:cs="宋体"/>
                <w:color w:val="000000"/>
                <w:sz w:val="22"/>
              </w:rPr>
              <w:t>保证正常使用</w:t>
            </w:r>
          </w:p>
        </w:tc>
      </w:tr>
      <w:tr>
        <w:trPr>
          <w:wBefore w:w="0" w:type="dxa"/>
          <w:wAfter w:w="0" w:type="dxa"/>
          <w:trHeight w:val="91" w:hRule="atLeast"/>
          <w:jc w:val="center"/>
        </w:trPr>
        <w:tc>
          <w:tcPr>
            <w:tcW w:w="42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时效指标</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完成中心评审工作</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宋体" w:hAnsi="宋体" w:eastAsia="宋体" w:cs="宋体"/>
                <w:color w:val="000000"/>
                <w:sz w:val="22"/>
              </w:rPr>
            </w:pPr>
            <w:r>
              <w:rPr>
                <w:rFonts w:hint="eastAsia" w:ascii="宋体" w:hAnsi="宋体" w:eastAsia="宋体" w:cs="宋体"/>
                <w:color w:val="000000"/>
                <w:sz w:val="22"/>
              </w:rPr>
              <w:t>长期</w:t>
            </w:r>
          </w:p>
        </w:tc>
      </w:tr>
      <w:tr>
        <w:tblPrEx>
          <w:tblCellMar>
            <w:top w:w="0" w:type="dxa"/>
            <w:left w:w="0" w:type="dxa"/>
            <w:bottom w:w="0" w:type="dxa"/>
            <w:right w:w="0" w:type="dxa"/>
          </w:tblCellMar>
        </w:tblPrEx>
        <w:trPr>
          <w:wBefore w:w="0" w:type="dxa"/>
          <w:wAfter w:w="0" w:type="dxa"/>
          <w:trHeight w:val="711" w:hRule="atLeast"/>
          <w:jc w:val="center"/>
        </w:trPr>
        <w:tc>
          <w:tcPr>
            <w:tcW w:w="42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成本指标</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工程造价软件升级费</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按照合同要求</w:t>
            </w:r>
          </w:p>
        </w:tc>
      </w:tr>
      <w:tr>
        <w:trPr>
          <w:wBefore w:w="0" w:type="dxa"/>
          <w:wAfter w:w="0" w:type="dxa"/>
          <w:trHeight w:val="694" w:hRule="atLeast"/>
          <w:jc w:val="center"/>
        </w:trPr>
        <w:tc>
          <w:tcPr>
            <w:tcW w:w="42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效益指标</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经济效益</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充分利用工程软件结果</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提高评审人员时间，保质保量完成评审任务。</w:t>
            </w:r>
          </w:p>
        </w:tc>
      </w:tr>
      <w:tr>
        <w:tblPrEx>
          <w:tblCellMar>
            <w:top w:w="0" w:type="dxa"/>
            <w:left w:w="0" w:type="dxa"/>
            <w:bottom w:w="0" w:type="dxa"/>
            <w:right w:w="0" w:type="dxa"/>
          </w:tblCellMar>
        </w:tblPrEx>
        <w:trPr>
          <w:wBefore w:w="0" w:type="dxa"/>
          <w:wAfter w:w="0" w:type="dxa"/>
          <w:trHeight w:val="730" w:hRule="atLeast"/>
          <w:jc w:val="center"/>
        </w:trPr>
        <w:tc>
          <w:tcPr>
            <w:tcW w:w="42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效益指标</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社会效益</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充分利用工程造价软件的社会效益</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审掉了不合理资金，为政府节约大量的财政资金。</w:t>
            </w:r>
          </w:p>
        </w:tc>
      </w:tr>
      <w:tr>
        <w:trPr>
          <w:wBefore w:w="0" w:type="dxa"/>
          <w:wAfter w:w="0" w:type="dxa"/>
          <w:trHeight w:val="709" w:hRule="atLeast"/>
          <w:jc w:val="center"/>
        </w:trPr>
        <w:tc>
          <w:tcPr>
            <w:tcW w:w="42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满意度指标</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满意度指标</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用户满意度</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sz w:val="22"/>
              </w:rPr>
              <w:t>90%</w:t>
            </w:r>
          </w:p>
        </w:tc>
      </w:tr>
    </w:tbl>
    <w:p>
      <w:pPr>
        <w:spacing w:line="620" w:lineRule="exact"/>
        <w:ind w:firstLine="646" w:firstLineChars="200"/>
        <w:rPr>
          <w:rFonts w:hint="eastAsia"/>
        </w:rPr>
      </w:pPr>
      <w:r>
        <w:rPr>
          <w:rFonts w:hint="eastAsia"/>
        </w:rPr>
        <w:t>3. 分析评价申报内容是否与实际相符，申报目标是否合理可行。</w:t>
      </w:r>
    </w:p>
    <w:p>
      <w:pPr>
        <w:spacing w:line="620" w:lineRule="exact"/>
        <w:ind w:firstLine="646" w:firstLineChars="200"/>
        <w:rPr>
          <w:rFonts w:hint="eastAsia"/>
        </w:rPr>
      </w:pPr>
      <w:r>
        <w:rPr>
          <w:rFonts w:hint="eastAsia"/>
        </w:rPr>
        <w:t>由于评审中心工作的专业性、特殊性要求，我中心必须购买工程造价软件对工程进行算量计价，以保证建设类项目预、决算评审工作质量和评审时效，申报内容与实际工作需求相符。从年度决算看申报目标合理可行。</w:t>
      </w:r>
    </w:p>
    <w:p>
      <w:pPr>
        <w:spacing w:line="620" w:lineRule="exact"/>
        <w:ind w:firstLine="646" w:firstLineChars="200"/>
        <w:rPr>
          <w:rFonts w:hint="eastAsia" w:ascii="楷体_GB2312" w:eastAsia="楷体_GB2312"/>
        </w:rPr>
      </w:pPr>
      <w:r>
        <w:rPr>
          <w:rFonts w:hint="eastAsia" w:ascii="楷体_GB2312" w:eastAsia="楷体_GB2312"/>
        </w:rPr>
        <w:t>（三）项目自评步骤及方法。</w:t>
      </w:r>
    </w:p>
    <w:p>
      <w:pPr>
        <w:spacing w:line="620" w:lineRule="exact"/>
        <w:ind w:firstLine="646" w:firstLineChars="200"/>
        <w:rPr>
          <w:rFonts w:hint="eastAsia"/>
        </w:rPr>
      </w:pPr>
      <w:r>
        <w:rPr>
          <w:rFonts w:hint="eastAsia"/>
        </w:rPr>
        <w:t>本项目采取自评方式，结合评价内容，做到有计划、有安排、扎实开展自评工作。按照上级下达的项目支出绩效评价指标体系，针对申报内容、实施情况、资金兑现、财务管理、社会效益等做出客观公正的自我评价。</w:t>
      </w:r>
    </w:p>
    <w:p>
      <w:pPr>
        <w:spacing w:line="620" w:lineRule="exact"/>
        <w:ind w:firstLine="646" w:firstLineChars="200"/>
        <w:rPr>
          <w:rFonts w:hint="eastAsia" w:ascii="黑体" w:hAnsi="黑体" w:eastAsia="黑体"/>
        </w:rPr>
      </w:pPr>
      <w:r>
        <w:rPr>
          <w:rFonts w:hint="eastAsia" w:ascii="黑体" w:hAnsi="黑体" w:eastAsia="黑体"/>
        </w:rPr>
        <w:t>二、项目资金申报及使用情况</w:t>
      </w:r>
    </w:p>
    <w:p>
      <w:pPr>
        <w:spacing w:line="620" w:lineRule="exact"/>
        <w:ind w:firstLine="646" w:firstLineChars="200"/>
        <w:rPr>
          <w:rFonts w:hint="eastAsia" w:ascii="楷体_GB2312" w:eastAsia="楷体_GB2312"/>
        </w:rPr>
      </w:pPr>
      <w:r>
        <w:rPr>
          <w:rFonts w:hint="eastAsia" w:ascii="楷体_GB2312" w:eastAsia="楷体_GB2312"/>
        </w:rPr>
        <w:t>（一）项目资金申报及批复情况。</w:t>
      </w:r>
    </w:p>
    <w:p>
      <w:pPr>
        <w:spacing w:line="620" w:lineRule="exact"/>
        <w:ind w:firstLine="646" w:firstLineChars="200"/>
        <w:rPr>
          <w:rFonts w:hint="eastAsia"/>
        </w:rPr>
      </w:pPr>
      <w:r>
        <w:rPr>
          <w:rFonts w:hint="eastAsia"/>
        </w:rPr>
        <w:t>我中心年初申报“信息化建设及运维项目”经费3万元，按年度进行申报。《遂宁市财政局关于批复下属单位2020年部门预算的通知》（遂财办〔2020〕15号）进行了批复。</w:t>
      </w:r>
    </w:p>
    <w:p>
      <w:pPr>
        <w:spacing w:line="620" w:lineRule="exact"/>
        <w:ind w:firstLine="646" w:firstLineChars="200"/>
        <w:rPr>
          <w:rFonts w:hint="eastAsia" w:ascii="楷体_GB2312" w:eastAsia="楷体_GB2312"/>
        </w:rPr>
      </w:pPr>
      <w:r>
        <w:rPr>
          <w:rFonts w:hint="eastAsia" w:ascii="楷体_GB2312" w:eastAsia="楷体_GB2312"/>
        </w:rPr>
        <w:t>（二）资金计划、到位及使用情况（可用表格形式反映）。</w:t>
      </w:r>
    </w:p>
    <w:p>
      <w:pPr>
        <w:spacing w:line="620" w:lineRule="exact"/>
        <w:ind w:firstLine="646" w:firstLineChars="200"/>
        <w:rPr>
          <w:rFonts w:hint="eastAsia"/>
        </w:rPr>
      </w:pPr>
      <w:r>
        <w:rPr>
          <w:rFonts w:hint="eastAsia"/>
          <w:b/>
        </w:rPr>
        <w:t>1．资金计划：</w:t>
      </w:r>
      <w:r>
        <w:rPr>
          <w:rFonts w:hint="eastAsia"/>
        </w:rPr>
        <w:t>评审中心信息化建设及运维项目资金计划3万元，遂宁市财政局于2020年6月批复。</w:t>
      </w:r>
    </w:p>
    <w:p>
      <w:pPr>
        <w:spacing w:line="620" w:lineRule="exact"/>
        <w:ind w:firstLine="646" w:firstLineChars="200"/>
        <w:rPr>
          <w:rFonts w:hint="eastAsia"/>
        </w:rPr>
      </w:pPr>
      <w:r>
        <w:rPr>
          <w:rFonts w:hint="eastAsia"/>
          <w:b/>
        </w:rPr>
        <w:t>2．资金到位：</w:t>
      </w:r>
      <w:r>
        <w:rPr>
          <w:rFonts w:hint="eastAsia"/>
        </w:rPr>
        <w:t>截至2020年12月，资金到位3万元，计划资金到位率100%。</w:t>
      </w:r>
    </w:p>
    <w:p>
      <w:pPr>
        <w:spacing w:line="620" w:lineRule="exact"/>
        <w:ind w:firstLine="646" w:firstLineChars="200"/>
        <w:rPr>
          <w:rFonts w:hint="eastAsia"/>
        </w:rPr>
      </w:pPr>
      <w:r>
        <w:rPr>
          <w:rFonts w:hint="eastAsia"/>
          <w:b/>
        </w:rPr>
        <w:t>3．资金使用：</w:t>
      </w:r>
      <w:r>
        <w:rPr>
          <w:rFonts w:hint="eastAsia"/>
        </w:rPr>
        <w:t>截至2020年12月底评审中心信息化建设及运维项目决算支出3万元，预算执行率100%。</w:t>
      </w:r>
    </w:p>
    <w:p>
      <w:pPr>
        <w:spacing w:line="620" w:lineRule="exact"/>
        <w:ind w:firstLine="646" w:firstLineChars="200"/>
        <w:rPr>
          <w:rFonts w:hint="eastAsia" w:ascii="楷体_GB2312" w:eastAsia="楷体_GB2312"/>
        </w:rPr>
      </w:pPr>
      <w:r>
        <w:rPr>
          <w:rFonts w:hint="eastAsia" w:ascii="楷体_GB2312" w:eastAsia="楷体_GB2312"/>
        </w:rPr>
        <w:t>（三）项目财务管理情况。</w:t>
      </w:r>
    </w:p>
    <w:p>
      <w:pPr>
        <w:spacing w:line="620" w:lineRule="exact"/>
        <w:ind w:firstLine="646" w:firstLineChars="200"/>
        <w:rPr>
          <w:rFonts w:hint="eastAsia"/>
        </w:rPr>
      </w:pPr>
      <w:r>
        <w:rPr>
          <w:rFonts w:hint="eastAsia"/>
        </w:rPr>
        <w:t>项目经费严格按照财务管理制度进行管理，保证专款专用。在具备资金发票、合同、验收清单等相关材料、手续完善的情况下进行支付，不存在截留、挤占、挪用、虚列支出等情况。</w:t>
      </w:r>
    </w:p>
    <w:p>
      <w:pPr>
        <w:spacing w:line="620" w:lineRule="exact"/>
        <w:ind w:firstLine="646" w:firstLineChars="200"/>
        <w:rPr>
          <w:rFonts w:hint="eastAsia" w:ascii="黑体" w:hAnsi="黑体" w:eastAsia="黑体"/>
        </w:rPr>
      </w:pPr>
      <w:r>
        <w:rPr>
          <w:rFonts w:hint="eastAsia" w:ascii="黑体" w:hAnsi="黑体" w:eastAsia="黑体"/>
        </w:rPr>
        <w:t>三、项目实施及管理情况</w:t>
      </w:r>
    </w:p>
    <w:p>
      <w:pPr>
        <w:spacing w:line="620" w:lineRule="exact"/>
        <w:ind w:firstLine="646" w:firstLineChars="200"/>
        <w:rPr>
          <w:rFonts w:hint="eastAsia" w:ascii="楷体_GB2312" w:eastAsia="楷体_GB2312"/>
        </w:rPr>
      </w:pPr>
      <w:r>
        <w:rPr>
          <w:rFonts w:hint="eastAsia" w:ascii="楷体_GB2312" w:eastAsia="楷体_GB2312"/>
        </w:rPr>
        <w:t>（一）项目组织架构及实施流程。</w:t>
      </w:r>
    </w:p>
    <w:p>
      <w:pPr>
        <w:spacing w:line="620" w:lineRule="exact"/>
        <w:ind w:firstLine="646" w:firstLineChars="200"/>
        <w:rPr>
          <w:rFonts w:hint="eastAsia"/>
        </w:rPr>
      </w:pPr>
      <w:r>
        <w:rPr>
          <w:rFonts w:hint="eastAsia"/>
          <w:b/>
        </w:rPr>
        <w:t>1.</w:t>
      </w:r>
      <w:r>
        <w:rPr>
          <w:b/>
        </w:rPr>
        <w:t xml:space="preserve"> </w:t>
      </w:r>
      <w:r>
        <w:rPr>
          <w:rFonts w:hint="eastAsia"/>
          <w:b/>
        </w:rPr>
        <w:t>程序严密：</w:t>
      </w:r>
      <w:r>
        <w:rPr>
          <w:rFonts w:hint="eastAsia"/>
        </w:rPr>
        <w:t>按使用数量及市场调查价格据实申报。</w:t>
      </w:r>
    </w:p>
    <w:p>
      <w:pPr>
        <w:spacing w:line="620" w:lineRule="exact"/>
        <w:ind w:firstLine="646" w:firstLineChars="200"/>
        <w:rPr>
          <w:rFonts w:hint="eastAsia"/>
        </w:rPr>
      </w:pPr>
      <w:r>
        <w:rPr>
          <w:rFonts w:hint="eastAsia"/>
          <w:b/>
        </w:rPr>
        <w:t>2.</w:t>
      </w:r>
      <w:r>
        <w:rPr>
          <w:b/>
        </w:rPr>
        <w:t xml:space="preserve"> </w:t>
      </w:r>
      <w:r>
        <w:rPr>
          <w:rFonts w:hint="eastAsia"/>
          <w:b/>
        </w:rPr>
        <w:t>规划合理：</w:t>
      </w:r>
      <w:r>
        <w:rPr>
          <w:rFonts w:hint="eastAsia"/>
        </w:rPr>
        <w:t>与现实需求匹配。</w:t>
      </w:r>
    </w:p>
    <w:p>
      <w:pPr>
        <w:spacing w:line="620" w:lineRule="exact"/>
        <w:ind w:firstLine="646" w:firstLineChars="200"/>
        <w:rPr>
          <w:rFonts w:hint="eastAsia" w:ascii="楷体_GB2312" w:eastAsia="楷体_GB2312"/>
        </w:rPr>
      </w:pPr>
      <w:r>
        <w:rPr>
          <w:rFonts w:hint="eastAsia" w:ascii="楷体_GB2312" w:eastAsia="楷体_GB2312"/>
        </w:rPr>
        <w:t>（二）项目管理情况。</w:t>
      </w:r>
    </w:p>
    <w:p>
      <w:pPr>
        <w:spacing w:line="620" w:lineRule="exact"/>
        <w:ind w:firstLine="646" w:firstLineChars="200"/>
        <w:rPr>
          <w:rFonts w:hint="eastAsia"/>
        </w:rPr>
      </w:pPr>
      <w:r>
        <w:rPr>
          <w:rFonts w:hint="eastAsia"/>
          <w:b/>
        </w:rPr>
        <w:t>1.</w:t>
      </w:r>
      <w:r>
        <w:rPr>
          <w:b/>
        </w:rPr>
        <w:t xml:space="preserve"> </w:t>
      </w:r>
      <w:r>
        <w:rPr>
          <w:rFonts w:hint="eastAsia"/>
          <w:b/>
        </w:rPr>
        <w:t>分配合理：</w:t>
      </w:r>
      <w:r>
        <w:rPr>
          <w:rFonts w:hint="eastAsia"/>
        </w:rPr>
        <w:t>据实据效分配，申报3.00万元，执行3.00万元分配合理。</w:t>
      </w:r>
    </w:p>
    <w:p>
      <w:pPr>
        <w:spacing w:line="620" w:lineRule="exact"/>
        <w:ind w:firstLine="646" w:firstLineChars="200"/>
        <w:rPr>
          <w:rFonts w:hint="eastAsia"/>
        </w:rPr>
      </w:pPr>
      <w:r>
        <w:rPr>
          <w:rFonts w:hint="eastAsia"/>
          <w:b/>
        </w:rPr>
        <w:t>2.</w:t>
      </w:r>
      <w:r>
        <w:rPr>
          <w:b/>
        </w:rPr>
        <w:t xml:space="preserve"> </w:t>
      </w:r>
      <w:r>
        <w:rPr>
          <w:rFonts w:hint="eastAsia"/>
          <w:b/>
        </w:rPr>
        <w:t>使用合规：</w:t>
      </w:r>
      <w:r>
        <w:rPr>
          <w:rFonts w:hint="eastAsia"/>
        </w:rPr>
        <w:t>资金使用符合财经法规和财务管理制度，无截留、挤占、挪用、虚列支出等情况。</w:t>
      </w:r>
    </w:p>
    <w:p>
      <w:pPr>
        <w:spacing w:line="620" w:lineRule="exact"/>
        <w:ind w:firstLine="646" w:firstLineChars="200"/>
        <w:rPr>
          <w:rFonts w:hint="eastAsia"/>
        </w:rPr>
      </w:pPr>
      <w:r>
        <w:rPr>
          <w:rFonts w:hint="eastAsia"/>
          <w:b/>
        </w:rPr>
        <w:t>3.</w:t>
      </w:r>
      <w:r>
        <w:rPr>
          <w:b/>
        </w:rPr>
        <w:t xml:space="preserve"> </w:t>
      </w:r>
      <w:r>
        <w:rPr>
          <w:rFonts w:hint="eastAsia"/>
          <w:b/>
        </w:rPr>
        <w:t>执行有效：</w:t>
      </w:r>
      <w:r>
        <w:rPr>
          <w:rFonts w:hint="eastAsia"/>
        </w:rPr>
        <w:t>评审项目符合财政评审管理要求，资金用途符合项目管理具体要求。</w:t>
      </w:r>
    </w:p>
    <w:p>
      <w:pPr>
        <w:spacing w:line="620" w:lineRule="exact"/>
        <w:ind w:firstLine="646" w:firstLineChars="200"/>
        <w:rPr>
          <w:rFonts w:hint="eastAsia" w:ascii="楷体_GB2312" w:eastAsia="楷体_GB2312"/>
        </w:rPr>
      </w:pPr>
      <w:r>
        <w:rPr>
          <w:rFonts w:hint="eastAsia" w:ascii="楷体_GB2312" w:eastAsia="楷体_GB2312"/>
        </w:rPr>
        <w:t>（三）项目监管情况。</w:t>
      </w:r>
    </w:p>
    <w:p>
      <w:pPr>
        <w:spacing w:line="620" w:lineRule="exact"/>
        <w:ind w:firstLine="646" w:firstLineChars="200"/>
        <w:rPr>
          <w:rFonts w:hint="eastAsia"/>
        </w:rPr>
      </w:pPr>
      <w:r>
        <w:rPr>
          <w:rFonts w:hint="eastAsia"/>
        </w:rPr>
        <w:t>项目经费由评审中心具体管理并按相关管理制度严格执行，对项目资金按项目单独核算实行“专款专用”，无挤占挪用项目资金现象。</w:t>
      </w:r>
    </w:p>
    <w:p>
      <w:pPr>
        <w:spacing w:line="620" w:lineRule="exact"/>
        <w:ind w:firstLine="646" w:firstLineChars="200"/>
        <w:rPr>
          <w:rFonts w:hint="eastAsia" w:ascii="黑体" w:hAnsi="黑体" w:eastAsia="黑体"/>
        </w:rPr>
      </w:pPr>
      <w:r>
        <w:rPr>
          <w:rFonts w:hint="eastAsia" w:ascii="黑体" w:hAnsi="黑体" w:eastAsia="黑体"/>
        </w:rPr>
        <w:t>四、项目绩效情况</w:t>
      </w:r>
      <w:r>
        <w:rPr>
          <w:rFonts w:hint="eastAsia" w:ascii="黑体" w:hAnsi="黑体" w:eastAsia="黑体"/>
        </w:rPr>
        <w:tab/>
      </w:r>
    </w:p>
    <w:p>
      <w:pPr>
        <w:spacing w:line="620" w:lineRule="exact"/>
        <w:ind w:firstLine="646" w:firstLineChars="200"/>
        <w:rPr>
          <w:rFonts w:hint="eastAsia" w:ascii="楷体_GB2312" w:eastAsia="楷体_GB2312"/>
        </w:rPr>
      </w:pPr>
      <w:r>
        <w:rPr>
          <w:rFonts w:hint="eastAsia" w:ascii="楷体_GB2312" w:eastAsia="楷体_GB2312"/>
        </w:rPr>
        <w:t>（一）项目完成情况。</w:t>
      </w:r>
    </w:p>
    <w:p>
      <w:pPr>
        <w:spacing w:line="620" w:lineRule="exact"/>
        <w:ind w:firstLine="646" w:firstLineChars="200"/>
        <w:rPr>
          <w:rFonts w:hint="eastAsia"/>
        </w:rPr>
      </w:pPr>
      <w:r>
        <w:rPr>
          <w:rFonts w:hint="eastAsia"/>
          <w:b/>
        </w:rPr>
        <w:t>1.</w:t>
      </w:r>
      <w:r>
        <w:rPr>
          <w:b/>
        </w:rPr>
        <w:t xml:space="preserve"> </w:t>
      </w:r>
      <w:r>
        <w:rPr>
          <w:rFonts w:hint="eastAsia"/>
          <w:b/>
        </w:rPr>
        <w:t>预算完成：</w:t>
      </w:r>
      <w:r>
        <w:rPr>
          <w:rFonts w:hint="eastAsia"/>
        </w:rPr>
        <w:t>支出决算3.00万元，预算完成率100%。</w:t>
      </w:r>
    </w:p>
    <w:p>
      <w:pPr>
        <w:spacing w:line="620" w:lineRule="exact"/>
        <w:ind w:firstLine="646" w:firstLineChars="200"/>
        <w:rPr>
          <w:rFonts w:hint="eastAsia"/>
        </w:rPr>
      </w:pPr>
      <w:r>
        <w:rPr>
          <w:rFonts w:hint="eastAsia"/>
          <w:b/>
        </w:rPr>
        <w:t>2.</w:t>
      </w:r>
      <w:r>
        <w:rPr>
          <w:b/>
        </w:rPr>
        <w:t xml:space="preserve"> </w:t>
      </w:r>
      <w:r>
        <w:rPr>
          <w:rFonts w:hint="eastAsia"/>
          <w:b/>
        </w:rPr>
        <w:t>目标完成：</w:t>
      </w:r>
      <w:r>
        <w:rPr>
          <w:rFonts w:hint="eastAsia"/>
        </w:rPr>
        <w:t>项目实施使5台电脑工程用软件可持续发挥作用，保障了工程技术人员评审工作顺利完成。</w:t>
      </w:r>
    </w:p>
    <w:p>
      <w:pPr>
        <w:spacing w:line="620" w:lineRule="exact"/>
        <w:ind w:firstLine="646" w:firstLineChars="200"/>
        <w:rPr>
          <w:rFonts w:hint="eastAsia" w:ascii="楷体_GB2312" w:eastAsia="楷体_GB2312"/>
        </w:rPr>
      </w:pPr>
      <w:r>
        <w:rPr>
          <w:rFonts w:hint="eastAsia" w:ascii="楷体_GB2312" w:eastAsia="楷体_GB2312"/>
        </w:rPr>
        <w:t>（二）项目效益情况。</w:t>
      </w:r>
    </w:p>
    <w:p>
      <w:pPr>
        <w:spacing w:line="620" w:lineRule="exact"/>
        <w:ind w:firstLine="646" w:firstLineChars="200"/>
        <w:rPr>
          <w:rFonts w:hint="eastAsia"/>
        </w:rPr>
      </w:pPr>
      <w:r>
        <w:rPr>
          <w:rFonts w:hint="eastAsia"/>
          <w:b/>
        </w:rPr>
        <w:t>1.</w:t>
      </w:r>
      <w:r>
        <w:rPr>
          <w:b/>
        </w:rPr>
        <w:t xml:space="preserve"> </w:t>
      </w:r>
      <w:r>
        <w:rPr>
          <w:rFonts w:hint="eastAsia"/>
          <w:b/>
        </w:rPr>
        <w:t>项目效果：</w:t>
      </w:r>
      <w:r>
        <w:rPr>
          <w:rFonts w:hint="eastAsia"/>
        </w:rPr>
        <w:t>实现预期功能，能够持续良好地运作。</w:t>
      </w:r>
    </w:p>
    <w:p>
      <w:pPr>
        <w:spacing w:line="620" w:lineRule="exact"/>
        <w:ind w:firstLine="646" w:firstLineChars="200"/>
        <w:rPr>
          <w:rFonts w:hint="eastAsia"/>
        </w:rPr>
      </w:pPr>
      <w:r>
        <w:rPr>
          <w:rFonts w:hint="eastAsia"/>
          <w:b/>
        </w:rPr>
        <w:t>2.</w:t>
      </w:r>
      <w:r>
        <w:rPr>
          <w:b/>
        </w:rPr>
        <w:t xml:space="preserve"> </w:t>
      </w:r>
      <w:r>
        <w:rPr>
          <w:rFonts w:hint="eastAsia"/>
          <w:b/>
        </w:rPr>
        <w:t>完成质量：</w:t>
      </w:r>
      <w:r>
        <w:rPr>
          <w:rFonts w:hint="eastAsia"/>
        </w:rPr>
        <w:t>质量达标100%。</w:t>
      </w:r>
    </w:p>
    <w:p>
      <w:pPr>
        <w:spacing w:line="620" w:lineRule="exact"/>
        <w:ind w:firstLine="646" w:firstLineChars="200"/>
        <w:rPr>
          <w:rFonts w:hint="eastAsia"/>
        </w:rPr>
      </w:pPr>
      <w:r>
        <w:rPr>
          <w:rFonts w:hint="eastAsia"/>
          <w:b/>
        </w:rPr>
        <w:t>3.</w:t>
      </w:r>
      <w:r>
        <w:rPr>
          <w:b/>
        </w:rPr>
        <w:t xml:space="preserve"> </w:t>
      </w:r>
      <w:r>
        <w:rPr>
          <w:rFonts w:hint="eastAsia"/>
          <w:b/>
        </w:rPr>
        <w:t>社会效益：</w:t>
      </w:r>
      <w:r>
        <w:rPr>
          <w:rFonts w:hint="eastAsia"/>
        </w:rPr>
        <w:t>目标设备正常运转，为工程评审创造了条件，是保障评审项目时效目标的基础，为评审结论的公允提供了依据。</w:t>
      </w:r>
    </w:p>
    <w:p>
      <w:pPr>
        <w:spacing w:line="620" w:lineRule="exact"/>
        <w:ind w:firstLine="646" w:firstLineChars="200"/>
        <w:rPr>
          <w:rFonts w:hint="eastAsia" w:ascii="黑体" w:hAnsi="黑体" w:eastAsia="黑体"/>
        </w:rPr>
      </w:pPr>
      <w:r>
        <w:rPr>
          <w:rFonts w:hint="eastAsia" w:ascii="黑体" w:hAnsi="黑体" w:eastAsia="黑体"/>
        </w:rPr>
        <w:t>五、评价结论及建议</w:t>
      </w:r>
    </w:p>
    <w:p>
      <w:pPr>
        <w:spacing w:line="620" w:lineRule="exact"/>
        <w:ind w:firstLine="646" w:firstLineChars="200"/>
        <w:rPr>
          <w:rFonts w:hint="eastAsia" w:ascii="楷体_GB2312" w:eastAsia="楷体_GB2312"/>
        </w:rPr>
      </w:pPr>
      <w:r>
        <w:rPr>
          <w:rFonts w:hint="eastAsia" w:ascii="楷体_GB2312" w:eastAsia="楷体_GB2312"/>
        </w:rPr>
        <w:t>（一）评价结论。</w:t>
      </w:r>
    </w:p>
    <w:p>
      <w:pPr>
        <w:spacing w:line="620" w:lineRule="exact"/>
        <w:ind w:firstLine="646" w:firstLineChars="200"/>
        <w:rPr>
          <w:rFonts w:hint="eastAsia"/>
        </w:rPr>
      </w:pPr>
      <w:r>
        <w:rPr>
          <w:rFonts w:hint="eastAsia"/>
        </w:rPr>
        <w:t>项目申报目标具体细化并符合实际需求，项目各项管理制度建立健全并得以贯彻落实，资金使用和财务管理规范，预算执行情况良好，项目社会效益良好。</w:t>
      </w:r>
    </w:p>
    <w:p>
      <w:pPr>
        <w:spacing w:line="620" w:lineRule="exact"/>
        <w:ind w:firstLine="646" w:firstLineChars="200"/>
        <w:rPr>
          <w:rFonts w:hint="eastAsia" w:ascii="楷体_GB2312" w:eastAsia="楷体_GB2312"/>
        </w:rPr>
      </w:pPr>
      <w:r>
        <w:rPr>
          <w:rFonts w:hint="eastAsia" w:ascii="楷体_GB2312" w:eastAsia="楷体_GB2312"/>
        </w:rPr>
        <w:t>（二）存在的问题。</w:t>
      </w:r>
    </w:p>
    <w:p>
      <w:pPr>
        <w:spacing w:line="620" w:lineRule="exact"/>
        <w:ind w:firstLine="646" w:firstLineChars="200"/>
        <w:rPr>
          <w:rFonts w:hint="eastAsia"/>
        </w:rPr>
      </w:pPr>
      <w:r>
        <w:rPr>
          <w:rFonts w:hint="eastAsia"/>
        </w:rPr>
        <w:t>无 。</w:t>
      </w:r>
    </w:p>
    <w:p>
      <w:pPr>
        <w:spacing w:line="620" w:lineRule="exact"/>
        <w:ind w:firstLine="646" w:firstLineChars="200"/>
        <w:rPr>
          <w:rFonts w:hint="eastAsia" w:ascii="楷体_GB2312" w:eastAsia="楷体_GB2312"/>
        </w:rPr>
      </w:pPr>
      <w:r>
        <w:rPr>
          <w:rFonts w:hint="eastAsia" w:ascii="楷体_GB2312" w:eastAsia="楷体_GB2312"/>
        </w:rPr>
        <w:t>（三）相关建议。</w:t>
      </w:r>
    </w:p>
    <w:p>
      <w:pPr>
        <w:spacing w:line="620" w:lineRule="exact"/>
        <w:ind w:firstLine="646" w:firstLineChars="200"/>
      </w:pPr>
      <w:r>
        <w:rPr>
          <w:rFonts w:hint="eastAsia"/>
        </w:rPr>
        <w:t>无。</w:t>
      </w:r>
    </w:p>
    <w:p>
      <w:pPr>
        <w:spacing w:line="620" w:lineRule="exact"/>
        <w:ind w:firstLine="646" w:firstLineChars="200"/>
        <w:rPr>
          <w:rFonts w:hint="eastAsia"/>
        </w:rPr>
      </w:pPr>
    </w:p>
    <w:p>
      <w:pPr>
        <w:pStyle w:val="3"/>
        <w:keepNext w:val="0"/>
        <w:keepLines w:val="0"/>
        <w:overflowPunct w:val="0"/>
        <w:topLinePunct/>
        <w:spacing w:before="0" w:after="0" w:line="620" w:lineRule="exact"/>
        <w:rPr>
          <w:rFonts w:hint="eastAsia" w:ascii="黑体" w:hAnsi="黑体" w:eastAsia="黑体"/>
          <w:b w:val="0"/>
          <w:color w:val="000000"/>
        </w:rPr>
      </w:pPr>
      <w:r>
        <w:br w:type="page"/>
      </w:r>
      <w:bookmarkStart w:id="22" w:name="_Toc80262653"/>
      <w:r>
        <w:rPr>
          <w:rFonts w:hint="eastAsia" w:ascii="黑体" w:hAnsi="黑体" w:eastAsia="黑体"/>
          <w:b w:val="0"/>
          <w:color w:val="000000"/>
        </w:rPr>
        <w:t>附件2-2</w:t>
      </w:r>
      <w:bookmarkEnd w:id="22"/>
    </w:p>
    <w:p>
      <w:pPr>
        <w:spacing w:line="620" w:lineRule="exact"/>
      </w:pP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设备购置项目2020年绩效评价自评报告</w:t>
      </w:r>
    </w:p>
    <w:p>
      <w:pPr>
        <w:spacing w:line="620" w:lineRule="exact"/>
      </w:pPr>
    </w:p>
    <w:p>
      <w:pPr>
        <w:spacing w:line="620" w:lineRule="exact"/>
        <w:ind w:firstLine="646" w:firstLineChars="200"/>
        <w:rPr>
          <w:rFonts w:hint="eastAsia" w:ascii="黑体" w:hAnsi="黑体" w:eastAsia="黑体"/>
        </w:rPr>
      </w:pPr>
      <w:r>
        <w:rPr>
          <w:rFonts w:hint="eastAsia" w:ascii="黑体" w:hAnsi="黑体" w:eastAsia="黑体"/>
        </w:rPr>
        <w:t>一、项目概况</w:t>
      </w:r>
    </w:p>
    <w:p>
      <w:pPr>
        <w:spacing w:line="620" w:lineRule="exact"/>
        <w:ind w:firstLine="646" w:firstLineChars="200"/>
        <w:rPr>
          <w:rFonts w:hint="eastAsia" w:ascii="楷体_GB2312" w:eastAsia="楷体_GB2312"/>
        </w:rPr>
      </w:pPr>
      <w:r>
        <w:rPr>
          <w:rFonts w:hint="eastAsia" w:ascii="楷体_GB2312" w:eastAsia="楷体_GB2312"/>
        </w:rPr>
        <w:t>（一）项目基本情况。</w:t>
      </w:r>
    </w:p>
    <w:p>
      <w:pPr>
        <w:spacing w:line="620" w:lineRule="exact"/>
        <w:ind w:firstLine="646" w:firstLineChars="200"/>
        <w:rPr>
          <w:rFonts w:hint="eastAsia"/>
          <w:b/>
        </w:rPr>
      </w:pPr>
      <w:r>
        <w:rPr>
          <w:rFonts w:hint="eastAsia"/>
          <w:b/>
        </w:rPr>
        <w:t>1．项目主管部门在该项目管理中的职能。</w:t>
      </w:r>
    </w:p>
    <w:p>
      <w:pPr>
        <w:spacing w:line="620" w:lineRule="exact"/>
        <w:ind w:firstLine="646" w:firstLineChars="200"/>
        <w:rPr>
          <w:rFonts w:hint="eastAsia"/>
        </w:rPr>
      </w:pPr>
      <w:r>
        <w:rPr>
          <w:rFonts w:hint="eastAsia"/>
        </w:rPr>
        <w:t>负责资产购置、验收入库、维护保管等日常管理，负责资产的账卡管理、清查登记、统计报告及日常监督检查工作，办理本单位国有资产配置、处置。</w:t>
      </w:r>
    </w:p>
    <w:p>
      <w:pPr>
        <w:spacing w:line="620" w:lineRule="exact"/>
        <w:ind w:firstLine="646" w:firstLineChars="200"/>
        <w:rPr>
          <w:rFonts w:hint="eastAsia"/>
          <w:b/>
        </w:rPr>
      </w:pPr>
      <w:r>
        <w:rPr>
          <w:rFonts w:hint="eastAsia"/>
          <w:b/>
        </w:rPr>
        <w:t>2. 项目立项、资金申报的依据。</w:t>
      </w:r>
    </w:p>
    <w:p>
      <w:pPr>
        <w:spacing w:line="620" w:lineRule="exact"/>
        <w:ind w:firstLine="646" w:firstLineChars="200"/>
        <w:rPr>
          <w:rFonts w:hint="eastAsia"/>
        </w:rPr>
      </w:pPr>
      <w:r>
        <w:rPr>
          <w:rFonts w:hint="eastAsia"/>
        </w:rPr>
        <w:t>该项目预算的主要因素是办公电脑数量、实际使用时间、更换电脑数量及社会调查价格，不执行建设项目需立项管理。申报依据按《遂宁市财政局关于印发遂宁市市级行政事业单位通用办公设备和家具配置标准的通知》（遂财资产</w:t>
      </w:r>
      <w:r>
        <w:rPr>
          <w:rFonts w:hint="eastAsia" w:ascii="微软雅黑" w:hAnsi="微软雅黑" w:eastAsia="微软雅黑" w:cs="微软雅黑"/>
        </w:rPr>
        <w:t>﹝</w:t>
      </w:r>
      <w:r>
        <w:rPr>
          <w:rFonts w:hint="eastAsia"/>
        </w:rPr>
        <w:t>2017）5号）及实际需求分析进行资金申报。</w:t>
      </w:r>
    </w:p>
    <w:p>
      <w:pPr>
        <w:spacing w:line="620" w:lineRule="exact"/>
        <w:ind w:firstLine="646" w:firstLineChars="200"/>
        <w:rPr>
          <w:rFonts w:hint="eastAsia"/>
          <w:b/>
        </w:rPr>
      </w:pPr>
      <w:r>
        <w:rPr>
          <w:rFonts w:hint="eastAsia"/>
          <w:b/>
        </w:rPr>
        <w:t>3. 资金管理办法制定情况，资金支持具体项目的条件、范围与支持方式概况。</w:t>
      </w:r>
    </w:p>
    <w:p>
      <w:pPr>
        <w:spacing w:line="620" w:lineRule="exact"/>
        <w:ind w:firstLine="646" w:firstLineChars="200"/>
        <w:rPr>
          <w:rFonts w:hint="eastAsia"/>
        </w:rPr>
      </w:pPr>
      <w:r>
        <w:rPr>
          <w:rFonts w:hint="eastAsia"/>
        </w:rPr>
        <w:t>资金管理按评审中心制定的项目资金管理办法进行管理。申报资金符合中心发展及实际工作需求，也符合财政资金支持范围和方向。</w:t>
      </w:r>
    </w:p>
    <w:p>
      <w:pPr>
        <w:spacing w:line="620" w:lineRule="exact"/>
        <w:ind w:firstLine="646" w:firstLineChars="200"/>
        <w:rPr>
          <w:rFonts w:hint="eastAsia"/>
          <w:b/>
        </w:rPr>
      </w:pPr>
      <w:r>
        <w:rPr>
          <w:rFonts w:hint="eastAsia"/>
          <w:b/>
        </w:rPr>
        <w:t>4．资金分配的原则及考虑因素。</w:t>
      </w:r>
    </w:p>
    <w:p>
      <w:pPr>
        <w:spacing w:line="620" w:lineRule="exact"/>
        <w:ind w:firstLine="646" w:firstLineChars="200"/>
        <w:rPr>
          <w:rFonts w:hint="eastAsia"/>
        </w:rPr>
      </w:pPr>
      <w:r>
        <w:rPr>
          <w:rFonts w:hint="eastAsia"/>
        </w:rPr>
        <w:t>资金分配原则为据实分配，考虑的因素为上年度使用数量、本年度业务发展需求、固定资产当年购置计划等。</w:t>
      </w:r>
    </w:p>
    <w:p>
      <w:pPr>
        <w:spacing w:line="620" w:lineRule="exact"/>
        <w:ind w:firstLine="646" w:firstLineChars="200"/>
        <w:rPr>
          <w:rFonts w:hint="eastAsia" w:ascii="楷体_GB2312" w:eastAsia="楷体_GB2312"/>
        </w:rPr>
      </w:pPr>
      <w:r>
        <w:rPr>
          <w:rFonts w:hint="eastAsia" w:ascii="楷体_GB2312" w:eastAsia="楷体_GB2312"/>
        </w:rPr>
        <w:t>（二）项目绩效目标。</w:t>
      </w:r>
    </w:p>
    <w:p>
      <w:pPr>
        <w:spacing w:line="620" w:lineRule="exact"/>
        <w:ind w:firstLine="646" w:firstLineChars="200"/>
        <w:rPr>
          <w:rFonts w:hint="eastAsia"/>
        </w:rPr>
      </w:pPr>
      <w:r>
        <w:rPr>
          <w:rFonts w:hint="eastAsia"/>
        </w:rPr>
        <w:t>1．项目主要内容。</w:t>
      </w:r>
    </w:p>
    <w:p>
      <w:pPr>
        <w:spacing w:line="620" w:lineRule="exact"/>
        <w:ind w:firstLine="646" w:firstLineChars="200"/>
        <w:rPr>
          <w:rFonts w:hint="eastAsia"/>
        </w:rPr>
      </w:pPr>
      <w:r>
        <w:rPr>
          <w:rFonts w:hint="eastAsia"/>
        </w:rPr>
        <w:t>更换符合条件的、使用现状不佳的办公用电脑购买经费。</w:t>
      </w:r>
    </w:p>
    <w:p>
      <w:pPr>
        <w:spacing w:line="620" w:lineRule="exact"/>
        <w:ind w:firstLine="646" w:firstLineChars="200"/>
        <w:rPr>
          <w:b/>
        </w:rPr>
      </w:pPr>
      <w:r>
        <w:rPr>
          <w:rFonts w:hint="eastAsia"/>
        </w:rPr>
        <w:t>2. 项目应实现的具体绩效目标，包括目标的量化、细化情况以及项目实施进度计划等详见下表《项目绩效目标情况表》。</w:t>
      </w:r>
    </w:p>
    <w:p>
      <w:pPr>
        <w:spacing w:line="620" w:lineRule="exact"/>
        <w:jc w:val="center"/>
        <w:rPr>
          <w:rFonts w:hint="eastAsia" w:ascii="黑体" w:hAnsi="黑体" w:eastAsia="黑体"/>
        </w:rPr>
      </w:pPr>
      <w:r>
        <w:rPr>
          <w:rFonts w:hint="eastAsia" w:ascii="黑体" w:hAnsi="黑体" w:eastAsia="黑体"/>
        </w:rPr>
        <w:t>项目绩效目标情况表</w:t>
      </w:r>
    </w:p>
    <w:p>
      <w:pPr>
        <w:spacing w:line="620" w:lineRule="exact"/>
        <w:jc w:val="center"/>
      </w:pPr>
      <w:r>
        <w:rPr>
          <w:rFonts w:hint="eastAsia"/>
        </w:rPr>
        <w:t>（2020年度）</w:t>
      </w:r>
    </w:p>
    <w:tbl>
      <w:tblPr>
        <w:tblStyle w:val="10"/>
        <w:tblpPr w:leftFromText="180" w:rightFromText="180" w:vertAnchor="text" w:horzAnchor="page" w:tblpXSpec="center" w:tblpY="423"/>
        <w:tblOverlap w:val="never"/>
        <w:tblW w:w="8791" w:type="dxa"/>
        <w:jc w:val="center"/>
        <w:tblLayout w:type="fixed"/>
        <w:tblCellMar>
          <w:top w:w="0" w:type="dxa"/>
          <w:left w:w="0" w:type="dxa"/>
          <w:bottom w:w="0" w:type="dxa"/>
          <w:right w:w="0" w:type="dxa"/>
        </w:tblCellMar>
      </w:tblPr>
      <w:tblGrid>
        <w:gridCol w:w="400"/>
        <w:gridCol w:w="1600"/>
        <w:gridCol w:w="1201"/>
        <w:gridCol w:w="1559"/>
        <w:gridCol w:w="4031"/>
      </w:tblGrid>
      <w:tr>
        <w:tblPrEx>
          <w:tblCellMar>
            <w:top w:w="0" w:type="dxa"/>
            <w:left w:w="0" w:type="dxa"/>
            <w:bottom w:w="0" w:type="dxa"/>
            <w:right w:w="0" w:type="dxa"/>
          </w:tblCellMar>
        </w:tblPrEx>
        <w:trPr>
          <w:wBefore w:w="0" w:type="dxa"/>
          <w:wAfter w:w="0" w:type="dxa"/>
          <w:trHeight w:val="460" w:hRule="atLeast"/>
          <w:jc w:val="center"/>
        </w:trPr>
        <w:tc>
          <w:tcPr>
            <w:tcW w:w="32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项目名称</w:t>
            </w:r>
          </w:p>
        </w:tc>
        <w:tc>
          <w:tcPr>
            <w:tcW w:w="5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设备购置项目</w:t>
            </w:r>
          </w:p>
        </w:tc>
      </w:tr>
      <w:tr>
        <w:trPr>
          <w:wBefore w:w="0" w:type="dxa"/>
          <w:wAfter w:w="0" w:type="dxa"/>
          <w:trHeight w:val="460" w:hRule="atLeast"/>
          <w:jc w:val="center"/>
        </w:trPr>
        <w:tc>
          <w:tcPr>
            <w:tcW w:w="32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预算单位</w:t>
            </w:r>
          </w:p>
        </w:tc>
        <w:tc>
          <w:tcPr>
            <w:tcW w:w="5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遂宁市政府投资评审中心</w:t>
            </w:r>
          </w:p>
        </w:tc>
      </w:tr>
      <w:tr>
        <w:tblPrEx>
          <w:tblCellMar>
            <w:top w:w="0" w:type="dxa"/>
            <w:left w:w="0" w:type="dxa"/>
            <w:bottom w:w="0" w:type="dxa"/>
            <w:right w:w="0" w:type="dxa"/>
          </w:tblCellMar>
        </w:tblPrEx>
        <w:trPr>
          <w:wBefore w:w="0" w:type="dxa"/>
          <w:wAfter w:w="0" w:type="dxa"/>
          <w:trHeight w:val="598" w:hRule="atLeast"/>
          <w:jc w:val="center"/>
        </w:trPr>
        <w:tc>
          <w:tcPr>
            <w:tcW w:w="879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预算数:4万元</w:t>
            </w:r>
          </w:p>
        </w:tc>
      </w:tr>
      <w:tr>
        <w:trPr>
          <w:wBefore w:w="0" w:type="dxa"/>
          <w:wAfter w:w="0" w:type="dxa"/>
          <w:trHeight w:val="558" w:hRule="atLeast"/>
          <w:jc w:val="center"/>
        </w:trPr>
        <w:tc>
          <w:tcPr>
            <w:tcW w:w="879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预期目标：保障中心事务正常运转</w:t>
            </w:r>
          </w:p>
        </w:tc>
      </w:tr>
      <w:tr>
        <w:tblPrEx>
          <w:tblCellMar>
            <w:top w:w="0" w:type="dxa"/>
            <w:left w:w="0" w:type="dxa"/>
            <w:bottom w:w="0" w:type="dxa"/>
            <w:right w:w="0" w:type="dxa"/>
          </w:tblCellMar>
        </w:tblPrEx>
        <w:trPr>
          <w:wBefore w:w="0" w:type="dxa"/>
          <w:trHeight w:val="652" w:hRule="atLeast"/>
          <w:jc w:val="center"/>
        </w:trPr>
        <w:tc>
          <w:tcPr>
            <w:tcW w:w="4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绩效目标情况</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一级指标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二级指标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三级指标</w:t>
            </w:r>
          </w:p>
        </w:tc>
        <w:tc>
          <w:tcPr>
            <w:tcW w:w="4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预期指标值(包含数字及文字描述)</w:t>
            </w:r>
          </w:p>
        </w:tc>
      </w:tr>
      <w:tr>
        <w:tblPrEx>
          <w:tblCellMar>
            <w:top w:w="0" w:type="dxa"/>
            <w:left w:w="0" w:type="dxa"/>
            <w:bottom w:w="0" w:type="dxa"/>
            <w:right w:w="0" w:type="dxa"/>
          </w:tblCellMar>
        </w:tblPrEx>
        <w:trPr>
          <w:wBefore w:w="0" w:type="dxa"/>
          <w:trHeight w:val="652" w:hRule="atLeast"/>
          <w:jc w:val="center"/>
        </w:trPr>
        <w:tc>
          <w:tcPr>
            <w:tcW w:w="400"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数量指标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购买台式机</w:t>
            </w:r>
          </w:p>
        </w:tc>
        <w:tc>
          <w:tcPr>
            <w:tcW w:w="4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4台</w:t>
            </w:r>
          </w:p>
        </w:tc>
      </w:tr>
      <w:tr>
        <w:tblPrEx>
          <w:tblCellMar>
            <w:top w:w="0" w:type="dxa"/>
            <w:left w:w="0" w:type="dxa"/>
            <w:bottom w:w="0" w:type="dxa"/>
            <w:right w:w="0" w:type="dxa"/>
          </w:tblCellMar>
        </w:tblPrEx>
        <w:trPr>
          <w:wBefore w:w="0" w:type="dxa"/>
          <w:trHeight w:val="652" w:hRule="atLeast"/>
          <w:jc w:val="center"/>
        </w:trPr>
        <w:tc>
          <w:tcPr>
            <w:tcW w:w="400"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质量指标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购买办公设备质量标准</w:t>
            </w:r>
          </w:p>
        </w:tc>
        <w:tc>
          <w:tcPr>
            <w:tcW w:w="4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宋体" w:hAnsi="宋体" w:eastAsia="宋体" w:cs="宋体"/>
                <w:color w:val="000000"/>
                <w:sz w:val="22"/>
              </w:rPr>
            </w:pPr>
            <w:r>
              <w:rPr>
                <w:rFonts w:hint="eastAsia" w:ascii="宋体" w:hAnsi="宋体" w:eastAsia="宋体" w:cs="宋体"/>
                <w:color w:val="000000"/>
                <w:sz w:val="22"/>
              </w:rPr>
              <w:t>按照行政事业单位办公设备标准</w:t>
            </w:r>
          </w:p>
        </w:tc>
      </w:tr>
      <w:tr>
        <w:tblPrEx>
          <w:tblCellMar>
            <w:top w:w="0" w:type="dxa"/>
            <w:left w:w="0" w:type="dxa"/>
            <w:bottom w:w="0" w:type="dxa"/>
            <w:right w:w="0" w:type="dxa"/>
          </w:tblCellMar>
        </w:tblPrEx>
        <w:trPr>
          <w:wBefore w:w="0" w:type="dxa"/>
          <w:trHeight w:val="652" w:hRule="atLeast"/>
          <w:jc w:val="center"/>
        </w:trPr>
        <w:tc>
          <w:tcPr>
            <w:tcW w:w="400"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hint="eastAsia" w:ascii="宋体" w:hAnsi="宋体" w:eastAsia="宋体" w:cs="宋体"/>
                <w:color w:val="000000"/>
                <w:sz w:val="22"/>
              </w:rPr>
            </w:pPr>
            <w:r>
              <w:rPr>
                <w:rFonts w:hint="eastAsia" w:ascii="宋体" w:hAnsi="宋体" w:eastAsia="宋体" w:cs="宋体"/>
                <w:color w:val="000000"/>
                <w:sz w:val="22"/>
              </w:rPr>
              <w:t>时效指标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购买时间</w:t>
            </w:r>
          </w:p>
        </w:tc>
        <w:tc>
          <w:tcPr>
            <w:tcW w:w="4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sz w:val="22"/>
              </w:rPr>
              <w:t>12月前</w:t>
            </w:r>
          </w:p>
        </w:tc>
      </w:tr>
      <w:tr>
        <w:tblPrEx>
          <w:tblCellMar>
            <w:top w:w="0" w:type="dxa"/>
            <w:left w:w="0" w:type="dxa"/>
            <w:bottom w:w="0" w:type="dxa"/>
            <w:right w:w="0" w:type="dxa"/>
          </w:tblCellMar>
        </w:tblPrEx>
        <w:trPr>
          <w:wBefore w:w="0" w:type="dxa"/>
          <w:trHeight w:val="652" w:hRule="atLeast"/>
          <w:jc w:val="center"/>
        </w:trPr>
        <w:tc>
          <w:tcPr>
            <w:tcW w:w="400"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项目完成指标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成本指标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购买办公设备成本</w:t>
            </w:r>
          </w:p>
        </w:tc>
        <w:tc>
          <w:tcPr>
            <w:tcW w:w="4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ascii="宋体" w:hAnsi="宋体" w:eastAsia="宋体" w:cs="宋体"/>
                <w:color w:val="000000"/>
                <w:sz w:val="22"/>
              </w:rPr>
            </w:pPr>
            <w:r>
              <w:rPr>
                <w:rFonts w:hint="eastAsia" w:ascii="宋体" w:hAnsi="宋体" w:eastAsia="宋体" w:cs="宋体"/>
                <w:color w:val="000000"/>
                <w:sz w:val="22"/>
              </w:rPr>
              <w:t>不超过办公家具配置标准</w:t>
            </w:r>
          </w:p>
        </w:tc>
      </w:tr>
      <w:tr>
        <w:tblPrEx>
          <w:tblCellMar>
            <w:top w:w="0" w:type="dxa"/>
            <w:left w:w="0" w:type="dxa"/>
            <w:bottom w:w="0" w:type="dxa"/>
            <w:right w:w="0" w:type="dxa"/>
          </w:tblCellMar>
        </w:tblPrEx>
        <w:trPr>
          <w:wBefore w:w="0" w:type="dxa"/>
          <w:trHeight w:val="652" w:hRule="atLeast"/>
          <w:jc w:val="center"/>
        </w:trPr>
        <w:tc>
          <w:tcPr>
            <w:tcW w:w="400"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效益指标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社会效益</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购买指定</w:t>
            </w:r>
          </w:p>
        </w:tc>
        <w:tc>
          <w:tcPr>
            <w:tcW w:w="4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根据安可替代工程计划购买资产</w:t>
            </w:r>
          </w:p>
        </w:tc>
      </w:tr>
      <w:tr>
        <w:tblPrEx>
          <w:tblCellMar>
            <w:top w:w="0" w:type="dxa"/>
            <w:left w:w="0" w:type="dxa"/>
            <w:bottom w:w="0" w:type="dxa"/>
            <w:right w:w="0" w:type="dxa"/>
          </w:tblCellMar>
        </w:tblPrEx>
        <w:trPr>
          <w:wBefore w:w="0" w:type="dxa"/>
          <w:trHeight w:val="652" w:hRule="atLeast"/>
          <w:jc w:val="center"/>
        </w:trPr>
        <w:tc>
          <w:tcPr>
            <w:tcW w:w="400"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效益指标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可持续性</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资产使用时限</w:t>
            </w:r>
          </w:p>
        </w:tc>
        <w:tc>
          <w:tcPr>
            <w:tcW w:w="4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2"/>
              </w:rPr>
            </w:pPr>
            <w:r>
              <w:rPr>
                <w:rFonts w:hint="eastAsia" w:ascii="宋体" w:hAnsi="宋体" w:eastAsia="宋体" w:cs="宋体"/>
                <w:color w:val="000000"/>
                <w:sz w:val="22"/>
              </w:rPr>
              <w:t>按照行政事业单位办公设备最低使用年限标准。</w:t>
            </w:r>
          </w:p>
        </w:tc>
      </w:tr>
      <w:tr>
        <w:tblPrEx>
          <w:tblCellMar>
            <w:top w:w="0" w:type="dxa"/>
            <w:left w:w="0" w:type="dxa"/>
            <w:bottom w:w="0" w:type="dxa"/>
            <w:right w:w="0" w:type="dxa"/>
          </w:tblCellMar>
        </w:tblPrEx>
        <w:trPr>
          <w:wBefore w:w="0" w:type="dxa"/>
          <w:trHeight w:val="652" w:hRule="atLeast"/>
          <w:jc w:val="center"/>
        </w:trPr>
        <w:tc>
          <w:tcPr>
            <w:tcW w:w="4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满意度指标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满意度指标</w:t>
            </w: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2"/>
              </w:rPr>
            </w:pPr>
            <w:r>
              <w:rPr>
                <w:rFonts w:hint="eastAsia" w:ascii="宋体" w:hAnsi="宋体" w:eastAsia="宋体" w:cs="宋体"/>
                <w:color w:val="000000"/>
                <w:sz w:val="22"/>
              </w:rPr>
              <w:t>资产使用人员满意度</w:t>
            </w:r>
          </w:p>
        </w:tc>
        <w:tc>
          <w:tcPr>
            <w:tcW w:w="4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sz w:val="22"/>
              </w:rPr>
              <w:t>大于90%</w:t>
            </w:r>
          </w:p>
        </w:tc>
      </w:tr>
    </w:tbl>
    <w:p>
      <w:pPr>
        <w:spacing w:line="620" w:lineRule="exact"/>
        <w:ind w:firstLine="646" w:firstLineChars="200"/>
        <w:rPr>
          <w:rFonts w:hint="eastAsia"/>
        </w:rPr>
      </w:pPr>
      <w:r>
        <w:rPr>
          <w:rFonts w:hint="eastAsia"/>
        </w:rPr>
        <w:t>3. 分析评价申报内容是否与实际相符，申报目标是否合理可行。</w:t>
      </w:r>
    </w:p>
    <w:p>
      <w:pPr>
        <w:spacing w:line="620" w:lineRule="exact"/>
        <w:ind w:firstLine="646" w:firstLineChars="200"/>
        <w:rPr>
          <w:rFonts w:hint="eastAsia"/>
        </w:rPr>
      </w:pPr>
      <w:r>
        <w:rPr>
          <w:rFonts w:hint="eastAsia"/>
        </w:rPr>
        <w:t>由于评审中心工作的专业性、特殊性要求，我中心必须购买与工程造价软件相匹配的工作用电脑设备，以保证工程造价软件能正常工作，保障中心评审事务顺利进行。申报内容与实际工作需求相符。</w:t>
      </w:r>
    </w:p>
    <w:p>
      <w:pPr>
        <w:spacing w:line="620" w:lineRule="exact"/>
        <w:ind w:firstLine="646" w:firstLineChars="200"/>
        <w:rPr>
          <w:rFonts w:hint="eastAsia" w:ascii="楷体_GB2312" w:eastAsia="楷体_GB2312"/>
        </w:rPr>
      </w:pPr>
      <w:r>
        <w:rPr>
          <w:rFonts w:hint="eastAsia" w:ascii="楷体_GB2312" w:eastAsia="楷体_GB2312"/>
        </w:rPr>
        <w:t>（三）项目自评步骤及方法。</w:t>
      </w:r>
    </w:p>
    <w:p>
      <w:pPr>
        <w:spacing w:line="620" w:lineRule="exact"/>
        <w:ind w:firstLine="646" w:firstLineChars="200"/>
        <w:rPr>
          <w:rFonts w:hint="eastAsia"/>
        </w:rPr>
      </w:pPr>
      <w:r>
        <w:rPr>
          <w:rFonts w:hint="eastAsia"/>
        </w:rPr>
        <w:t>本项目采取自评方式，结合评价内容，做到有计划、有安排、扎实开展自评工作。按照上级下达的项目支出绩效评价指标体系，针对申报内容、实施情况、资金兑现、财务管理、社会效益等做出客观公正的自我评价。</w:t>
      </w:r>
    </w:p>
    <w:p>
      <w:pPr>
        <w:spacing w:line="620" w:lineRule="exact"/>
        <w:ind w:firstLine="646" w:firstLineChars="200"/>
        <w:rPr>
          <w:rFonts w:hint="eastAsia" w:ascii="黑体" w:hAnsi="黑体" w:eastAsia="黑体"/>
        </w:rPr>
      </w:pPr>
      <w:r>
        <w:rPr>
          <w:rFonts w:hint="eastAsia" w:ascii="黑体" w:hAnsi="黑体" w:eastAsia="黑体"/>
        </w:rPr>
        <w:t>二、项目资金申报及使用情况</w:t>
      </w:r>
    </w:p>
    <w:p>
      <w:pPr>
        <w:spacing w:line="620" w:lineRule="exact"/>
        <w:ind w:firstLine="646" w:firstLineChars="200"/>
        <w:rPr>
          <w:rFonts w:hint="eastAsia" w:ascii="楷体_GB2312" w:eastAsia="楷体_GB2312"/>
        </w:rPr>
      </w:pPr>
      <w:r>
        <w:rPr>
          <w:rFonts w:hint="eastAsia" w:ascii="楷体_GB2312" w:eastAsia="楷体_GB2312"/>
        </w:rPr>
        <w:t>（一）项目资金申报及批复情况。</w:t>
      </w:r>
    </w:p>
    <w:p>
      <w:pPr>
        <w:spacing w:line="620" w:lineRule="exact"/>
        <w:ind w:firstLine="646" w:firstLineChars="200"/>
        <w:rPr>
          <w:rFonts w:hint="eastAsia"/>
        </w:rPr>
      </w:pPr>
      <w:r>
        <w:rPr>
          <w:rFonts w:hint="eastAsia"/>
        </w:rPr>
        <w:t>我中心年初申报“设备购置”经费4万元，按年度进行申报。《遂宁市财政局关于批复下属单位2020年部门预算的通知》（遂财办〔2020〕15号）进行了批复。</w:t>
      </w:r>
    </w:p>
    <w:p>
      <w:pPr>
        <w:spacing w:line="620" w:lineRule="exact"/>
        <w:ind w:firstLine="646" w:firstLineChars="200"/>
        <w:rPr>
          <w:rFonts w:hint="eastAsia" w:ascii="楷体_GB2312" w:eastAsia="楷体_GB2312"/>
        </w:rPr>
      </w:pPr>
      <w:r>
        <w:rPr>
          <w:rFonts w:hint="eastAsia" w:ascii="楷体_GB2312" w:eastAsia="楷体_GB2312"/>
        </w:rPr>
        <w:t>（二）资金计划、到位及使用情况（可用表格形式反映）。</w:t>
      </w:r>
    </w:p>
    <w:p>
      <w:pPr>
        <w:spacing w:line="620" w:lineRule="exact"/>
        <w:ind w:firstLine="646" w:firstLineChars="200"/>
        <w:rPr>
          <w:rFonts w:hint="eastAsia"/>
        </w:rPr>
      </w:pPr>
      <w:r>
        <w:rPr>
          <w:rFonts w:hint="eastAsia"/>
          <w:b/>
        </w:rPr>
        <w:t>1．资金计划：</w:t>
      </w:r>
      <w:r>
        <w:rPr>
          <w:rFonts w:hint="eastAsia"/>
        </w:rPr>
        <w:t>评审中心设备购置项目资金计划4万元，遂宁市财政局于2020年6月批复。</w:t>
      </w:r>
    </w:p>
    <w:p>
      <w:pPr>
        <w:spacing w:line="620" w:lineRule="exact"/>
        <w:ind w:firstLine="646" w:firstLineChars="200"/>
        <w:rPr>
          <w:rFonts w:hint="eastAsia"/>
        </w:rPr>
      </w:pPr>
      <w:r>
        <w:rPr>
          <w:rFonts w:hint="eastAsia"/>
          <w:b/>
        </w:rPr>
        <w:t>2．资金到位：</w:t>
      </w:r>
      <w:r>
        <w:rPr>
          <w:rFonts w:hint="eastAsia"/>
        </w:rPr>
        <w:t>截至2020年12月，资金到位4万元，计划资金到位率100%。</w:t>
      </w:r>
    </w:p>
    <w:p>
      <w:pPr>
        <w:spacing w:line="620" w:lineRule="exact"/>
        <w:ind w:firstLine="646" w:firstLineChars="200"/>
      </w:pPr>
      <w:r>
        <w:rPr>
          <w:rFonts w:hint="eastAsia"/>
          <w:b/>
        </w:rPr>
        <w:t>3．资金使用：</w:t>
      </w:r>
      <w:r>
        <w:rPr>
          <w:rFonts w:hint="eastAsia"/>
        </w:rPr>
        <w:t>年度决算无支出，预算执行率0%。</w:t>
      </w:r>
    </w:p>
    <w:p>
      <w:pPr>
        <w:spacing w:line="620" w:lineRule="exact"/>
        <w:ind w:firstLine="646" w:firstLineChars="200"/>
        <w:rPr>
          <w:rFonts w:hint="eastAsia" w:ascii="楷体_GB2312" w:eastAsia="楷体_GB2312"/>
        </w:rPr>
      </w:pPr>
      <w:r>
        <w:rPr>
          <w:rFonts w:hint="eastAsia" w:ascii="楷体_GB2312" w:eastAsia="楷体_GB2312"/>
        </w:rPr>
        <w:t>（三）项目财务管理情况。</w:t>
      </w:r>
    </w:p>
    <w:p>
      <w:pPr>
        <w:spacing w:line="620" w:lineRule="exact"/>
        <w:ind w:firstLine="646" w:firstLineChars="200"/>
        <w:rPr>
          <w:rFonts w:hint="eastAsia"/>
        </w:rPr>
      </w:pPr>
      <w:r>
        <w:rPr>
          <w:rFonts w:hint="eastAsia"/>
        </w:rPr>
        <w:t>该项目未实施。</w:t>
      </w:r>
    </w:p>
    <w:p>
      <w:pPr>
        <w:spacing w:line="620" w:lineRule="exact"/>
        <w:ind w:firstLine="646" w:firstLineChars="200"/>
        <w:rPr>
          <w:rFonts w:hint="eastAsia" w:ascii="黑体" w:hAnsi="黑体" w:eastAsia="黑体"/>
        </w:rPr>
      </w:pPr>
      <w:r>
        <w:rPr>
          <w:rFonts w:hint="eastAsia" w:ascii="黑体" w:hAnsi="黑体" w:eastAsia="黑体"/>
        </w:rPr>
        <w:t>三、项目实施及管理情况</w:t>
      </w:r>
    </w:p>
    <w:p>
      <w:pPr>
        <w:spacing w:line="620" w:lineRule="exact"/>
        <w:ind w:firstLine="646" w:firstLineChars="200"/>
        <w:rPr>
          <w:rFonts w:hint="eastAsia" w:ascii="楷体_GB2312" w:eastAsia="楷体_GB2312"/>
        </w:rPr>
      </w:pPr>
      <w:r>
        <w:rPr>
          <w:rFonts w:hint="eastAsia" w:ascii="楷体_GB2312" w:eastAsia="楷体_GB2312"/>
        </w:rPr>
        <w:t>（一）项目组织架构及实施流程。</w:t>
      </w:r>
    </w:p>
    <w:p>
      <w:pPr>
        <w:spacing w:line="620" w:lineRule="exact"/>
        <w:ind w:firstLine="646" w:firstLineChars="200"/>
        <w:rPr>
          <w:rFonts w:hint="eastAsia"/>
        </w:rPr>
      </w:pPr>
      <w:r>
        <w:rPr>
          <w:rFonts w:hint="eastAsia"/>
          <w:b/>
        </w:rPr>
        <w:t>1.</w:t>
      </w:r>
      <w:r>
        <w:rPr>
          <w:b/>
        </w:rPr>
        <w:t xml:space="preserve"> </w:t>
      </w:r>
      <w:r>
        <w:rPr>
          <w:rFonts w:hint="eastAsia"/>
          <w:b/>
        </w:rPr>
        <w:t>程序严密：</w:t>
      </w:r>
      <w:r>
        <w:rPr>
          <w:rFonts w:hint="eastAsia"/>
        </w:rPr>
        <w:t>申报目标为办公用电脑购置，根据原电脑实际购置年度、使用现状及市级相关规定据实申报。</w:t>
      </w:r>
    </w:p>
    <w:p>
      <w:pPr>
        <w:spacing w:line="620" w:lineRule="exact"/>
        <w:ind w:firstLine="646" w:firstLineChars="200"/>
        <w:rPr>
          <w:rFonts w:hint="eastAsia"/>
        </w:rPr>
      </w:pPr>
      <w:r>
        <w:rPr>
          <w:rFonts w:hint="eastAsia"/>
          <w:b/>
        </w:rPr>
        <w:t>2.</w:t>
      </w:r>
      <w:r>
        <w:rPr>
          <w:b/>
        </w:rPr>
        <w:t xml:space="preserve"> </w:t>
      </w:r>
      <w:r>
        <w:rPr>
          <w:rFonts w:hint="eastAsia"/>
          <w:b/>
        </w:rPr>
        <w:t>规划合理：</w:t>
      </w:r>
      <w:r>
        <w:rPr>
          <w:rFonts w:hint="eastAsia"/>
        </w:rPr>
        <w:t>参照《遂宁市财政局关于印发遂宁市市级行政事业单位通用办公设备和家具配置标准的通知》（遂财资产〔2017〕5号）及中心办公电脑使用状况制定项目规划，符合地方资产管理要求。</w:t>
      </w:r>
    </w:p>
    <w:p>
      <w:pPr>
        <w:spacing w:line="620" w:lineRule="exact"/>
        <w:ind w:firstLine="646" w:firstLineChars="200"/>
        <w:rPr>
          <w:rFonts w:hint="eastAsia" w:ascii="楷体_GB2312" w:eastAsia="楷体_GB2312"/>
        </w:rPr>
      </w:pPr>
      <w:r>
        <w:rPr>
          <w:rFonts w:hint="eastAsia" w:ascii="楷体_GB2312" w:eastAsia="楷体_GB2312"/>
        </w:rPr>
        <w:t>（二）项目管理情况。</w:t>
      </w:r>
    </w:p>
    <w:p>
      <w:pPr>
        <w:spacing w:line="620" w:lineRule="exact"/>
        <w:ind w:firstLine="646" w:firstLineChars="200"/>
        <w:rPr>
          <w:rFonts w:hint="eastAsia"/>
        </w:rPr>
      </w:pPr>
      <w:r>
        <w:rPr>
          <w:rFonts w:hint="eastAsia"/>
          <w:b/>
        </w:rPr>
        <w:t>1.</w:t>
      </w:r>
      <w:r>
        <w:rPr>
          <w:b/>
        </w:rPr>
        <w:t xml:space="preserve"> </w:t>
      </w:r>
      <w:r>
        <w:rPr>
          <w:rFonts w:hint="eastAsia"/>
          <w:b/>
        </w:rPr>
        <w:t>分配合理：</w:t>
      </w:r>
      <w:r>
        <w:rPr>
          <w:rFonts w:hint="eastAsia"/>
        </w:rPr>
        <w:t>根据使用电脑实际购置年度、使用现状、办公设备相关规定及市场价格调查据实申报。</w:t>
      </w:r>
    </w:p>
    <w:p>
      <w:pPr>
        <w:spacing w:line="620" w:lineRule="exact"/>
        <w:ind w:firstLine="646" w:firstLineChars="200"/>
        <w:rPr>
          <w:rFonts w:hint="eastAsia"/>
        </w:rPr>
      </w:pPr>
      <w:r>
        <w:rPr>
          <w:rFonts w:hint="eastAsia"/>
          <w:b/>
        </w:rPr>
        <w:t>2.</w:t>
      </w:r>
      <w:r>
        <w:rPr>
          <w:b/>
        </w:rPr>
        <w:t xml:space="preserve"> </w:t>
      </w:r>
      <w:r>
        <w:rPr>
          <w:rFonts w:hint="eastAsia"/>
          <w:b/>
        </w:rPr>
        <w:t>使用合规：</w:t>
      </w:r>
      <w:r>
        <w:rPr>
          <w:rFonts w:hint="eastAsia"/>
        </w:rPr>
        <w:t>因政府强制要求使用安可电脑不满足工程计量计价财政评审技术需求，项目未实施，资金未使用。</w:t>
      </w:r>
    </w:p>
    <w:p>
      <w:pPr>
        <w:spacing w:line="620" w:lineRule="exact"/>
        <w:ind w:firstLine="646" w:firstLineChars="200"/>
        <w:rPr>
          <w:rFonts w:hint="eastAsia"/>
        </w:rPr>
      </w:pPr>
      <w:r>
        <w:rPr>
          <w:rFonts w:hint="eastAsia"/>
          <w:b/>
        </w:rPr>
        <w:t>3.</w:t>
      </w:r>
      <w:r>
        <w:rPr>
          <w:b/>
        </w:rPr>
        <w:t xml:space="preserve"> </w:t>
      </w:r>
      <w:r>
        <w:rPr>
          <w:rFonts w:hint="eastAsia"/>
          <w:b/>
        </w:rPr>
        <w:t>执行有效：</w:t>
      </w:r>
      <w:r>
        <w:rPr>
          <w:rFonts w:hint="eastAsia"/>
        </w:rPr>
        <w:t>预算未执行。</w:t>
      </w:r>
    </w:p>
    <w:p>
      <w:pPr>
        <w:spacing w:line="620" w:lineRule="exact"/>
        <w:ind w:firstLine="646" w:firstLineChars="200"/>
        <w:rPr>
          <w:rFonts w:hint="eastAsia" w:ascii="楷体_GB2312" w:eastAsia="楷体_GB2312"/>
        </w:rPr>
      </w:pPr>
      <w:r>
        <w:rPr>
          <w:rFonts w:hint="eastAsia" w:ascii="楷体_GB2312" w:eastAsia="楷体_GB2312"/>
        </w:rPr>
        <w:t>（三）项目监管情况。</w:t>
      </w:r>
    </w:p>
    <w:p>
      <w:pPr>
        <w:spacing w:line="620" w:lineRule="exact"/>
        <w:ind w:firstLine="646" w:firstLineChars="200"/>
        <w:rPr>
          <w:rFonts w:hint="eastAsia"/>
        </w:rPr>
      </w:pPr>
      <w:r>
        <w:rPr>
          <w:rFonts w:hint="eastAsia"/>
        </w:rPr>
        <w:t>该项目未实施，未纳入监管范围。</w:t>
      </w:r>
    </w:p>
    <w:p>
      <w:pPr>
        <w:spacing w:line="620" w:lineRule="exact"/>
        <w:ind w:firstLine="646" w:firstLineChars="200"/>
        <w:rPr>
          <w:rFonts w:hint="eastAsia" w:ascii="黑体" w:hAnsi="黑体" w:eastAsia="黑体"/>
        </w:rPr>
      </w:pPr>
      <w:r>
        <w:rPr>
          <w:rFonts w:hint="eastAsia" w:ascii="黑体" w:hAnsi="黑体" w:eastAsia="黑体"/>
        </w:rPr>
        <w:t>四、项目绩效情况</w:t>
      </w:r>
      <w:r>
        <w:rPr>
          <w:rFonts w:hint="eastAsia" w:ascii="黑体" w:hAnsi="黑体" w:eastAsia="黑体"/>
        </w:rPr>
        <w:tab/>
      </w:r>
    </w:p>
    <w:p>
      <w:pPr>
        <w:spacing w:line="620" w:lineRule="exact"/>
        <w:ind w:firstLine="646" w:firstLineChars="200"/>
        <w:rPr>
          <w:rFonts w:hint="eastAsia" w:ascii="楷体_GB2312" w:eastAsia="楷体_GB2312"/>
        </w:rPr>
      </w:pPr>
      <w:r>
        <w:rPr>
          <w:rFonts w:hint="eastAsia" w:ascii="楷体_GB2312" w:eastAsia="楷体_GB2312"/>
        </w:rPr>
        <w:t>（一）项目完成情况。</w:t>
      </w:r>
    </w:p>
    <w:p>
      <w:pPr>
        <w:spacing w:line="620" w:lineRule="exact"/>
        <w:ind w:firstLine="646" w:firstLineChars="200"/>
        <w:rPr>
          <w:rFonts w:hint="eastAsia"/>
        </w:rPr>
      </w:pPr>
      <w:r>
        <w:rPr>
          <w:rFonts w:hint="eastAsia"/>
        </w:rPr>
        <w:t>该项目未实施无结果。</w:t>
      </w:r>
    </w:p>
    <w:p>
      <w:pPr>
        <w:spacing w:line="620" w:lineRule="exact"/>
        <w:ind w:firstLine="646" w:firstLineChars="200"/>
        <w:rPr>
          <w:rFonts w:hint="eastAsia" w:ascii="楷体_GB2312" w:eastAsia="楷体_GB2312"/>
        </w:rPr>
      </w:pPr>
      <w:r>
        <w:rPr>
          <w:rFonts w:hint="eastAsia" w:ascii="楷体_GB2312" w:eastAsia="楷体_GB2312"/>
        </w:rPr>
        <w:t>（二）项目效益情况。</w:t>
      </w:r>
    </w:p>
    <w:p>
      <w:pPr>
        <w:spacing w:line="620" w:lineRule="exact"/>
        <w:ind w:firstLine="646" w:firstLineChars="200"/>
        <w:rPr>
          <w:rFonts w:hint="eastAsia"/>
        </w:rPr>
      </w:pPr>
      <w:r>
        <w:rPr>
          <w:rFonts w:hint="eastAsia"/>
          <w:b/>
        </w:rPr>
        <w:t>1.</w:t>
      </w:r>
      <w:r>
        <w:rPr>
          <w:b/>
        </w:rPr>
        <w:t xml:space="preserve"> </w:t>
      </w:r>
      <w:r>
        <w:rPr>
          <w:rFonts w:hint="eastAsia"/>
          <w:b/>
        </w:rPr>
        <w:t>项目效果：</w:t>
      </w:r>
      <w:r>
        <w:rPr>
          <w:rFonts w:hint="eastAsia"/>
        </w:rPr>
        <w:t>继续使用原工作电脑，基本不影响评审功能发挥。</w:t>
      </w:r>
    </w:p>
    <w:p>
      <w:pPr>
        <w:spacing w:line="620" w:lineRule="exact"/>
        <w:ind w:firstLine="646" w:firstLineChars="200"/>
        <w:rPr>
          <w:rFonts w:hint="eastAsia"/>
        </w:rPr>
      </w:pPr>
      <w:r>
        <w:rPr>
          <w:rFonts w:hint="eastAsia"/>
          <w:b/>
        </w:rPr>
        <w:t>2.</w:t>
      </w:r>
      <w:r>
        <w:rPr>
          <w:b/>
        </w:rPr>
        <w:t xml:space="preserve"> </w:t>
      </w:r>
      <w:r>
        <w:rPr>
          <w:rFonts w:hint="eastAsia"/>
          <w:b/>
        </w:rPr>
        <w:t>社会效益：</w:t>
      </w:r>
      <w:r>
        <w:rPr>
          <w:rFonts w:hint="eastAsia"/>
        </w:rPr>
        <w:t>继续使用原工作电脑维修较多，存在影响评审工作效率和进度。原有设备运行状况一般。</w:t>
      </w:r>
    </w:p>
    <w:p>
      <w:pPr>
        <w:spacing w:line="620" w:lineRule="exact"/>
        <w:ind w:firstLine="646" w:firstLineChars="200"/>
        <w:rPr>
          <w:rFonts w:hint="eastAsia" w:ascii="黑体" w:hAnsi="黑体" w:eastAsia="黑体"/>
        </w:rPr>
      </w:pPr>
      <w:r>
        <w:rPr>
          <w:rFonts w:hint="eastAsia" w:ascii="黑体" w:hAnsi="黑体" w:eastAsia="黑体"/>
        </w:rPr>
        <w:t>五、评价结论及建议</w:t>
      </w:r>
    </w:p>
    <w:p>
      <w:pPr>
        <w:spacing w:line="620" w:lineRule="exact"/>
        <w:ind w:firstLine="646" w:firstLineChars="200"/>
        <w:rPr>
          <w:rFonts w:hint="eastAsia" w:ascii="楷体_GB2312" w:eastAsia="楷体_GB2312"/>
        </w:rPr>
      </w:pPr>
      <w:r>
        <w:rPr>
          <w:rFonts w:hint="eastAsia" w:ascii="楷体_GB2312" w:eastAsia="楷体_GB2312"/>
        </w:rPr>
        <w:t>（一）评价结论。</w:t>
      </w:r>
    </w:p>
    <w:p>
      <w:pPr>
        <w:spacing w:line="620" w:lineRule="exact"/>
        <w:ind w:firstLine="646" w:firstLineChars="200"/>
        <w:rPr>
          <w:rFonts w:hint="eastAsia"/>
        </w:rPr>
      </w:pPr>
      <w:r>
        <w:rPr>
          <w:rFonts w:hint="eastAsia"/>
        </w:rPr>
        <w:t>项目申报目标具体细化并符合实际需求，项目各项管理制度建立健全并得以贯彻落实，因政府强制要求使用安可电脑不满足工程计量计价财政评审技术需求，项目未实施。</w:t>
      </w:r>
    </w:p>
    <w:p>
      <w:pPr>
        <w:spacing w:line="620" w:lineRule="exact"/>
        <w:ind w:firstLine="646" w:firstLineChars="200"/>
        <w:rPr>
          <w:rFonts w:hint="eastAsia" w:ascii="楷体_GB2312" w:eastAsia="楷体_GB2312"/>
        </w:rPr>
      </w:pPr>
      <w:r>
        <w:rPr>
          <w:rFonts w:hint="eastAsia" w:ascii="楷体_GB2312" w:eastAsia="楷体_GB2312"/>
        </w:rPr>
        <w:t>（二）存在的问题。</w:t>
      </w:r>
    </w:p>
    <w:p>
      <w:pPr>
        <w:spacing w:line="620" w:lineRule="exact"/>
        <w:ind w:firstLine="646" w:firstLineChars="200"/>
        <w:rPr>
          <w:rFonts w:hint="eastAsia"/>
        </w:rPr>
      </w:pPr>
      <w:r>
        <w:rPr>
          <w:rFonts w:hint="eastAsia"/>
        </w:rPr>
        <w:t>预算项目未实施。</w:t>
      </w:r>
    </w:p>
    <w:p>
      <w:pPr>
        <w:spacing w:line="620" w:lineRule="exact"/>
        <w:ind w:firstLine="646" w:firstLineChars="200"/>
        <w:rPr>
          <w:rFonts w:hint="eastAsia" w:ascii="楷体_GB2312" w:eastAsia="楷体_GB2312"/>
        </w:rPr>
      </w:pPr>
      <w:r>
        <w:rPr>
          <w:rFonts w:hint="eastAsia" w:ascii="楷体_GB2312" w:eastAsia="楷体_GB2312"/>
        </w:rPr>
        <w:t>（三）相关建议。</w:t>
      </w:r>
    </w:p>
    <w:p>
      <w:pPr>
        <w:spacing w:line="620" w:lineRule="exact"/>
        <w:ind w:firstLine="646" w:firstLineChars="200"/>
      </w:pPr>
      <w:r>
        <w:rPr>
          <w:rFonts w:hint="eastAsia"/>
        </w:rPr>
        <w:t>建议允许我中心配置与工程计量、造价审核相适应的工作用电脑工具，确保评审工作任务完成和工作质量提高。</w:t>
      </w:r>
    </w:p>
    <w:p>
      <w:pPr>
        <w:spacing w:line="620" w:lineRule="exact"/>
        <w:ind w:firstLine="646" w:firstLineChars="200"/>
      </w:pPr>
    </w:p>
    <w:p>
      <w:pPr>
        <w:spacing w:line="620" w:lineRule="exact"/>
        <w:ind w:firstLine="646" w:firstLineChars="200"/>
      </w:pPr>
      <w:r>
        <w:br w:type="page"/>
      </w:r>
    </w:p>
    <w:p>
      <w:pPr>
        <w:pStyle w:val="2"/>
        <w:keepNext w:val="0"/>
        <w:keepLines w:val="0"/>
        <w:overflowPunct w:val="0"/>
        <w:topLinePunct/>
        <w:spacing w:before="0" w:after="0" w:line="620" w:lineRule="exact"/>
        <w:jc w:val="center"/>
        <w:rPr>
          <w:rFonts w:hint="eastAsia" w:ascii="方正小标宋简体" w:hAnsi="黑体" w:eastAsia="方正小标宋简体"/>
          <w:b w:val="0"/>
        </w:rPr>
      </w:pPr>
      <w:bookmarkStart w:id="23" w:name="_Toc80262654"/>
      <w:r>
        <w:rPr>
          <w:rFonts w:hint="eastAsia" w:ascii="方正小标宋简体" w:hAnsi="黑体" w:eastAsia="方正小标宋简体"/>
          <w:b w:val="0"/>
        </w:rPr>
        <w:t>第五部分 附表</w:t>
      </w:r>
      <w:bookmarkEnd w:id="23"/>
    </w:p>
    <w:p>
      <w:pPr>
        <w:spacing w:line="620" w:lineRule="exact"/>
        <w:ind w:firstLine="646" w:firstLineChars="200"/>
      </w:pPr>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24" w:name="_Toc80262655"/>
      <w:r>
        <w:rPr>
          <w:rFonts w:ascii="Times New Roman" w:hAnsi="Times New Roman" w:eastAsia="仿宋_GB2312"/>
          <w:b w:val="0"/>
          <w:color w:val="000000"/>
        </w:rPr>
        <w:t>一、收入支出决算总表</w:t>
      </w:r>
      <w:bookmarkEnd w:id="24"/>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25" w:name="_Toc80262656"/>
      <w:r>
        <w:rPr>
          <w:rFonts w:ascii="Times New Roman" w:hAnsi="Times New Roman" w:eastAsia="仿宋_GB2312"/>
          <w:b w:val="0"/>
          <w:color w:val="000000"/>
        </w:rPr>
        <w:t>二、收入决算表</w:t>
      </w:r>
      <w:bookmarkEnd w:id="25"/>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26" w:name="_Toc80262657"/>
      <w:r>
        <w:rPr>
          <w:rFonts w:ascii="Times New Roman" w:hAnsi="Times New Roman" w:eastAsia="仿宋_GB2312"/>
          <w:b w:val="0"/>
          <w:color w:val="000000"/>
        </w:rPr>
        <w:t>三、支出决算表</w:t>
      </w:r>
      <w:bookmarkEnd w:id="26"/>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27" w:name="_Toc80262658"/>
      <w:r>
        <w:rPr>
          <w:rFonts w:ascii="Times New Roman" w:hAnsi="Times New Roman" w:eastAsia="仿宋_GB2312"/>
          <w:b w:val="0"/>
          <w:color w:val="000000"/>
        </w:rPr>
        <w:t>四、财政拨款收入支出决算总表</w:t>
      </w:r>
      <w:bookmarkEnd w:id="27"/>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28" w:name="_Toc80262659"/>
      <w:r>
        <w:rPr>
          <w:rFonts w:ascii="Times New Roman" w:hAnsi="Times New Roman" w:eastAsia="仿宋_GB2312"/>
          <w:b w:val="0"/>
          <w:color w:val="000000"/>
        </w:rPr>
        <w:t>五、财政拨款支出决算明细表</w:t>
      </w:r>
      <w:bookmarkEnd w:id="28"/>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29" w:name="_Toc80262660"/>
      <w:r>
        <w:rPr>
          <w:rFonts w:ascii="Times New Roman" w:hAnsi="Times New Roman" w:eastAsia="仿宋_GB2312"/>
          <w:b w:val="0"/>
          <w:color w:val="000000"/>
        </w:rPr>
        <w:t>六、一般公共预算财政拨款支出决算表</w:t>
      </w:r>
      <w:bookmarkEnd w:id="29"/>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30" w:name="_Toc80262661"/>
      <w:r>
        <w:rPr>
          <w:rFonts w:ascii="Times New Roman" w:hAnsi="Times New Roman" w:eastAsia="仿宋_GB2312"/>
          <w:b w:val="0"/>
          <w:color w:val="000000"/>
        </w:rPr>
        <w:t>七、一般公共预算财政拨款支出决算明细表</w:t>
      </w:r>
      <w:bookmarkEnd w:id="30"/>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31" w:name="_Toc80262662"/>
      <w:r>
        <w:rPr>
          <w:rFonts w:ascii="Times New Roman" w:hAnsi="Times New Roman" w:eastAsia="仿宋_GB2312"/>
          <w:b w:val="0"/>
          <w:color w:val="000000"/>
        </w:rPr>
        <w:t>八、一般公共预算财政拨款基本支出决算表</w:t>
      </w:r>
      <w:bookmarkEnd w:id="31"/>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32" w:name="_Toc80262663"/>
      <w:r>
        <w:rPr>
          <w:rFonts w:ascii="Times New Roman" w:hAnsi="Times New Roman" w:eastAsia="仿宋_GB2312"/>
          <w:b w:val="0"/>
          <w:color w:val="000000"/>
        </w:rPr>
        <w:t>九、一般公共预算财政拨款项目支出决算表</w:t>
      </w:r>
      <w:bookmarkEnd w:id="32"/>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33" w:name="_Toc80262664"/>
      <w:r>
        <w:rPr>
          <w:rFonts w:ascii="Times New Roman" w:hAnsi="Times New Roman" w:eastAsia="仿宋_GB2312"/>
          <w:b w:val="0"/>
          <w:color w:val="000000"/>
        </w:rPr>
        <w:t>十、一般公共预算财政拨款“三公”经费支出决算表</w:t>
      </w:r>
      <w:bookmarkEnd w:id="33"/>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34" w:name="_Toc80262665"/>
      <w:r>
        <w:rPr>
          <w:rFonts w:ascii="Times New Roman" w:hAnsi="Times New Roman" w:eastAsia="仿宋_GB2312"/>
          <w:b w:val="0"/>
          <w:color w:val="000000"/>
        </w:rPr>
        <w:t>十一、政府性基金预算财政拨款收入支出决算表</w:t>
      </w:r>
      <w:bookmarkEnd w:id="34"/>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35" w:name="_Toc80262666"/>
      <w:r>
        <w:rPr>
          <w:rFonts w:ascii="Times New Roman" w:hAnsi="Times New Roman" w:eastAsia="仿宋_GB2312"/>
          <w:b w:val="0"/>
          <w:color w:val="000000"/>
        </w:rPr>
        <w:t>十二、政府性基金预算财政拨款“三公”经费支出决算表</w:t>
      </w:r>
      <w:bookmarkEnd w:id="35"/>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36" w:name="_Toc80262667"/>
      <w:r>
        <w:rPr>
          <w:rFonts w:ascii="Times New Roman" w:hAnsi="Times New Roman" w:eastAsia="仿宋_GB2312"/>
          <w:b w:val="0"/>
          <w:color w:val="000000"/>
        </w:rPr>
        <w:t>十三、国有资本经营预算财政拨款收入支出决算表</w:t>
      </w:r>
      <w:bookmarkEnd w:id="36"/>
    </w:p>
    <w:p>
      <w:pPr>
        <w:pStyle w:val="3"/>
        <w:keepNext w:val="0"/>
        <w:keepLines w:val="0"/>
        <w:overflowPunct w:val="0"/>
        <w:topLinePunct/>
        <w:spacing w:before="0" w:after="0" w:line="620" w:lineRule="exact"/>
        <w:ind w:firstLine="646" w:firstLineChars="200"/>
        <w:rPr>
          <w:rFonts w:ascii="Times New Roman" w:hAnsi="Times New Roman" w:eastAsia="仿宋_GB2312"/>
          <w:b w:val="0"/>
          <w:color w:val="000000"/>
        </w:rPr>
      </w:pPr>
      <w:bookmarkStart w:id="37" w:name="_Toc80262668"/>
      <w:r>
        <w:rPr>
          <w:rFonts w:ascii="Times New Roman" w:hAnsi="Times New Roman" w:eastAsia="仿宋_GB2312"/>
          <w:b w:val="0"/>
          <w:color w:val="000000"/>
        </w:rPr>
        <w:t>十四、国有资本经营预算财政拨款支出决算表</w:t>
      </w:r>
      <w:bookmarkEnd w:id="37"/>
    </w:p>
    <w:p>
      <w:pPr>
        <w:spacing w:line="620" w:lineRule="exact"/>
        <w:ind w:firstLine="646" w:firstLineChars="200"/>
        <w:rPr>
          <w:rFonts w:hint="eastAsia"/>
        </w:rPr>
      </w:pPr>
    </w:p>
    <w:p>
      <w:pPr>
        <w:spacing w:line="620" w:lineRule="exact"/>
        <w:ind w:firstLine="646" w:firstLineChars="200"/>
        <w:rPr>
          <w:rFonts w:hint="eastAsia"/>
        </w:rPr>
      </w:pPr>
    </w:p>
    <w:sectPr>
      <w:pgSz w:w="11906" w:h="16838"/>
      <w:pgMar w:top="1531" w:right="1418" w:bottom="1531" w:left="1418" w:header="851" w:footer="953" w:gutter="0"/>
      <w:pgNumType w:fmt="numberInDash" w:start="1"/>
      <w:cols w:space="720" w:num="1"/>
      <w:docGrid w:type="linesAndChars" w:linePitch="626"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E00002FF" w:usb1="400004FF"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Light">
    <w:altName w:val="华文中宋"/>
    <w:panose1 w:val="02010600030101010101"/>
    <w:charset w:val="00"/>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00"/>
    <w:family w:val="swiss"/>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41 -</w:t>
    </w:r>
    <w:r>
      <w:rPr>
        <w:rFonts w:ascii="宋体" w:hAnsi="宋体" w:eastAsia="宋体"/>
        <w:sz w:val="28"/>
        <w:szCs w:val="28"/>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40 -</w:t>
    </w:r>
    <w:r>
      <w:rPr>
        <w:rFonts w:ascii="宋体" w:hAnsi="宋体" w:eastAsia="宋体"/>
        <w:sz w:val="28"/>
        <w:szCs w:val="28"/>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2"/>
  <w:drawingGridVerticalSpacing w:val="31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78"/>
    <w:rsid w:val="00024CD8"/>
    <w:rsid w:val="0003501A"/>
    <w:rsid w:val="00043A2C"/>
    <w:rsid w:val="000560BF"/>
    <w:rsid w:val="000647EA"/>
    <w:rsid w:val="000676A9"/>
    <w:rsid w:val="000953D2"/>
    <w:rsid w:val="000B09A5"/>
    <w:rsid w:val="000B6B58"/>
    <w:rsid w:val="000C0EF6"/>
    <w:rsid w:val="000D242E"/>
    <w:rsid w:val="000F097D"/>
    <w:rsid w:val="000F4AFE"/>
    <w:rsid w:val="00141C34"/>
    <w:rsid w:val="00147FCD"/>
    <w:rsid w:val="001500C7"/>
    <w:rsid w:val="0015549C"/>
    <w:rsid w:val="00165008"/>
    <w:rsid w:val="00182761"/>
    <w:rsid w:val="001A3389"/>
    <w:rsid w:val="001A4868"/>
    <w:rsid w:val="001C72A3"/>
    <w:rsid w:val="001D06B3"/>
    <w:rsid w:val="00222008"/>
    <w:rsid w:val="00231090"/>
    <w:rsid w:val="00236AFE"/>
    <w:rsid w:val="00237938"/>
    <w:rsid w:val="00237D57"/>
    <w:rsid w:val="00244545"/>
    <w:rsid w:val="0026650D"/>
    <w:rsid w:val="00266525"/>
    <w:rsid w:val="00266F80"/>
    <w:rsid w:val="002839CE"/>
    <w:rsid w:val="0028791F"/>
    <w:rsid w:val="00294EC6"/>
    <w:rsid w:val="002B1218"/>
    <w:rsid w:val="002B32E6"/>
    <w:rsid w:val="002C164D"/>
    <w:rsid w:val="002C6200"/>
    <w:rsid w:val="002E5BE8"/>
    <w:rsid w:val="00300338"/>
    <w:rsid w:val="00312392"/>
    <w:rsid w:val="0031311C"/>
    <w:rsid w:val="00333BC4"/>
    <w:rsid w:val="00343B9B"/>
    <w:rsid w:val="00345EC7"/>
    <w:rsid w:val="0034750A"/>
    <w:rsid w:val="003518CC"/>
    <w:rsid w:val="003619CB"/>
    <w:rsid w:val="00377C48"/>
    <w:rsid w:val="00380DF0"/>
    <w:rsid w:val="00391B4F"/>
    <w:rsid w:val="00392E1D"/>
    <w:rsid w:val="003A4434"/>
    <w:rsid w:val="003B1E82"/>
    <w:rsid w:val="003B7350"/>
    <w:rsid w:val="003C243B"/>
    <w:rsid w:val="003F2F93"/>
    <w:rsid w:val="004042B2"/>
    <w:rsid w:val="00406241"/>
    <w:rsid w:val="00426214"/>
    <w:rsid w:val="0043345E"/>
    <w:rsid w:val="004375E8"/>
    <w:rsid w:val="00446577"/>
    <w:rsid w:val="004472FC"/>
    <w:rsid w:val="0045134F"/>
    <w:rsid w:val="00455B29"/>
    <w:rsid w:val="00474029"/>
    <w:rsid w:val="004A4180"/>
    <w:rsid w:val="004B2C06"/>
    <w:rsid w:val="004E73A8"/>
    <w:rsid w:val="005106D3"/>
    <w:rsid w:val="00531290"/>
    <w:rsid w:val="0055700A"/>
    <w:rsid w:val="00560939"/>
    <w:rsid w:val="005631EE"/>
    <w:rsid w:val="00564C75"/>
    <w:rsid w:val="00575948"/>
    <w:rsid w:val="00597858"/>
    <w:rsid w:val="005D0E1B"/>
    <w:rsid w:val="00606B93"/>
    <w:rsid w:val="006224B7"/>
    <w:rsid w:val="006554B6"/>
    <w:rsid w:val="006605B2"/>
    <w:rsid w:val="006749F9"/>
    <w:rsid w:val="00676C59"/>
    <w:rsid w:val="00680752"/>
    <w:rsid w:val="00680D24"/>
    <w:rsid w:val="006815DA"/>
    <w:rsid w:val="00690183"/>
    <w:rsid w:val="00695AA3"/>
    <w:rsid w:val="006B18A5"/>
    <w:rsid w:val="006C306A"/>
    <w:rsid w:val="006C438B"/>
    <w:rsid w:val="006D14A0"/>
    <w:rsid w:val="006F3648"/>
    <w:rsid w:val="006F7625"/>
    <w:rsid w:val="00702539"/>
    <w:rsid w:val="0070305D"/>
    <w:rsid w:val="00703794"/>
    <w:rsid w:val="007432DA"/>
    <w:rsid w:val="00750A4E"/>
    <w:rsid w:val="0076505A"/>
    <w:rsid w:val="00782759"/>
    <w:rsid w:val="00793FE0"/>
    <w:rsid w:val="00795623"/>
    <w:rsid w:val="00797917"/>
    <w:rsid w:val="007B7742"/>
    <w:rsid w:val="007C71C1"/>
    <w:rsid w:val="007E35B0"/>
    <w:rsid w:val="007E79F6"/>
    <w:rsid w:val="007F3E8C"/>
    <w:rsid w:val="0080420D"/>
    <w:rsid w:val="00805408"/>
    <w:rsid w:val="00821421"/>
    <w:rsid w:val="00831F29"/>
    <w:rsid w:val="00846941"/>
    <w:rsid w:val="0087290E"/>
    <w:rsid w:val="00874970"/>
    <w:rsid w:val="008826BD"/>
    <w:rsid w:val="00890189"/>
    <w:rsid w:val="00891E93"/>
    <w:rsid w:val="008B1358"/>
    <w:rsid w:val="008B5C96"/>
    <w:rsid w:val="008D5EFF"/>
    <w:rsid w:val="008E39CE"/>
    <w:rsid w:val="00921CE9"/>
    <w:rsid w:val="00927072"/>
    <w:rsid w:val="009515DB"/>
    <w:rsid w:val="009832A8"/>
    <w:rsid w:val="009874E0"/>
    <w:rsid w:val="00990CA9"/>
    <w:rsid w:val="0099252B"/>
    <w:rsid w:val="009A0EDD"/>
    <w:rsid w:val="009A3360"/>
    <w:rsid w:val="009B33C7"/>
    <w:rsid w:val="009B3568"/>
    <w:rsid w:val="009B4FD2"/>
    <w:rsid w:val="009C35C0"/>
    <w:rsid w:val="009D4A00"/>
    <w:rsid w:val="009E1904"/>
    <w:rsid w:val="009E39A6"/>
    <w:rsid w:val="009F6AAF"/>
    <w:rsid w:val="00A11934"/>
    <w:rsid w:val="00A20F9B"/>
    <w:rsid w:val="00A444A1"/>
    <w:rsid w:val="00A76943"/>
    <w:rsid w:val="00A8649C"/>
    <w:rsid w:val="00AA3AAC"/>
    <w:rsid w:val="00AC692E"/>
    <w:rsid w:val="00AE5B4A"/>
    <w:rsid w:val="00AE7D88"/>
    <w:rsid w:val="00AF2387"/>
    <w:rsid w:val="00AF61E4"/>
    <w:rsid w:val="00B00828"/>
    <w:rsid w:val="00B00B5D"/>
    <w:rsid w:val="00B00DFF"/>
    <w:rsid w:val="00B064F2"/>
    <w:rsid w:val="00B06C64"/>
    <w:rsid w:val="00B11EBE"/>
    <w:rsid w:val="00B237F7"/>
    <w:rsid w:val="00B320B3"/>
    <w:rsid w:val="00B43CFB"/>
    <w:rsid w:val="00B477E7"/>
    <w:rsid w:val="00B522D0"/>
    <w:rsid w:val="00B54A5A"/>
    <w:rsid w:val="00B5688C"/>
    <w:rsid w:val="00B615D0"/>
    <w:rsid w:val="00B66639"/>
    <w:rsid w:val="00BC02BA"/>
    <w:rsid w:val="00BC04B2"/>
    <w:rsid w:val="00BC37D6"/>
    <w:rsid w:val="00BD08E8"/>
    <w:rsid w:val="00C0545F"/>
    <w:rsid w:val="00C14187"/>
    <w:rsid w:val="00C257B9"/>
    <w:rsid w:val="00C30569"/>
    <w:rsid w:val="00C324B5"/>
    <w:rsid w:val="00C3780D"/>
    <w:rsid w:val="00C43234"/>
    <w:rsid w:val="00C43D33"/>
    <w:rsid w:val="00C6759D"/>
    <w:rsid w:val="00C838C3"/>
    <w:rsid w:val="00CA0CF8"/>
    <w:rsid w:val="00CB56CF"/>
    <w:rsid w:val="00CC3BF8"/>
    <w:rsid w:val="00CE659A"/>
    <w:rsid w:val="00CE6ADA"/>
    <w:rsid w:val="00CE7CA5"/>
    <w:rsid w:val="00CF2697"/>
    <w:rsid w:val="00D02B32"/>
    <w:rsid w:val="00D30CAF"/>
    <w:rsid w:val="00D428BC"/>
    <w:rsid w:val="00D438D7"/>
    <w:rsid w:val="00D4457D"/>
    <w:rsid w:val="00D50F23"/>
    <w:rsid w:val="00D6461C"/>
    <w:rsid w:val="00D86024"/>
    <w:rsid w:val="00D95425"/>
    <w:rsid w:val="00DA12BE"/>
    <w:rsid w:val="00DA1BFF"/>
    <w:rsid w:val="00DA2A3D"/>
    <w:rsid w:val="00DA474D"/>
    <w:rsid w:val="00DC2BE1"/>
    <w:rsid w:val="00DE0A12"/>
    <w:rsid w:val="00DE6F64"/>
    <w:rsid w:val="00DF3415"/>
    <w:rsid w:val="00DF7047"/>
    <w:rsid w:val="00DF7332"/>
    <w:rsid w:val="00E118D5"/>
    <w:rsid w:val="00E1257D"/>
    <w:rsid w:val="00E2516D"/>
    <w:rsid w:val="00E30C88"/>
    <w:rsid w:val="00E37CBA"/>
    <w:rsid w:val="00E4456D"/>
    <w:rsid w:val="00E500E7"/>
    <w:rsid w:val="00E50B80"/>
    <w:rsid w:val="00E545CE"/>
    <w:rsid w:val="00E75A2C"/>
    <w:rsid w:val="00E87978"/>
    <w:rsid w:val="00E87AA8"/>
    <w:rsid w:val="00E9468E"/>
    <w:rsid w:val="00E96286"/>
    <w:rsid w:val="00E96E58"/>
    <w:rsid w:val="00EA37CE"/>
    <w:rsid w:val="00EE0B44"/>
    <w:rsid w:val="00EE13A1"/>
    <w:rsid w:val="00EE674E"/>
    <w:rsid w:val="00EE6A0B"/>
    <w:rsid w:val="00EE7362"/>
    <w:rsid w:val="00F04C56"/>
    <w:rsid w:val="00F344DA"/>
    <w:rsid w:val="00F50F43"/>
    <w:rsid w:val="00FA24B3"/>
    <w:rsid w:val="00FB2E6E"/>
    <w:rsid w:val="00FE5C17"/>
    <w:rsid w:val="00FE5EEB"/>
    <w:rsid w:val="0537555B"/>
    <w:rsid w:val="06620926"/>
    <w:rsid w:val="117135CD"/>
    <w:rsid w:val="12BD2010"/>
    <w:rsid w:val="146243CF"/>
    <w:rsid w:val="1C7373C5"/>
    <w:rsid w:val="21456872"/>
    <w:rsid w:val="2AE33CB5"/>
    <w:rsid w:val="2B877BEF"/>
    <w:rsid w:val="2CBB2799"/>
    <w:rsid w:val="375DDB41"/>
    <w:rsid w:val="385F0A50"/>
    <w:rsid w:val="3C864798"/>
    <w:rsid w:val="3E0F2B03"/>
    <w:rsid w:val="3E6C4D92"/>
    <w:rsid w:val="3EA66E6F"/>
    <w:rsid w:val="489B0C25"/>
    <w:rsid w:val="4D19229D"/>
    <w:rsid w:val="4F325865"/>
    <w:rsid w:val="4F6D1F8B"/>
    <w:rsid w:val="50906BE3"/>
    <w:rsid w:val="5695202D"/>
    <w:rsid w:val="58787268"/>
    <w:rsid w:val="5AAE0D4A"/>
    <w:rsid w:val="5CE10C08"/>
    <w:rsid w:val="6132352D"/>
    <w:rsid w:val="62592453"/>
    <w:rsid w:val="650E5226"/>
    <w:rsid w:val="6E4E086B"/>
    <w:rsid w:val="6F036404"/>
    <w:rsid w:val="72FD008F"/>
    <w:rsid w:val="74F74A1B"/>
    <w:rsid w:val="75FF7BBD"/>
    <w:rsid w:val="77075E84"/>
    <w:rsid w:val="7DAE5F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eastAsia="宋体"/>
      <w:b/>
      <w:bCs/>
      <w:kern w:val="44"/>
      <w:sz w:val="44"/>
      <w:szCs w:val="44"/>
    </w:rPr>
  </w:style>
  <w:style w:type="paragraph" w:styleId="3">
    <w:name w:val="heading 2"/>
    <w:basedOn w:val="1"/>
    <w:next w:val="1"/>
    <w:link w:val="17"/>
    <w:qFormat/>
    <w:uiPriority w:val="9"/>
    <w:pPr>
      <w:keepNext/>
      <w:keepLines/>
      <w:spacing w:before="260" w:after="260" w:line="416" w:lineRule="auto"/>
      <w:outlineLvl w:val="1"/>
    </w:pPr>
    <w:rPr>
      <w:rFonts w:ascii="Cambria" w:hAnsi="Cambria" w:eastAsia="宋体"/>
      <w:b/>
      <w:bCs/>
    </w:rPr>
  </w:style>
  <w:style w:type="character" w:default="1" w:styleId="11">
    <w:name w:val="Default Paragraph Fon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Date"/>
    <w:basedOn w:val="1"/>
    <w:next w:val="1"/>
    <w:uiPriority w:val="0"/>
    <w:pPr>
      <w:ind w:left="2500" w:leftChars="2500"/>
    </w:pPr>
  </w:style>
  <w:style w:type="paragraph" w:styleId="5">
    <w:name w:val="Balloon Text"/>
    <w:basedOn w:val="1"/>
    <w:uiPriority w:val="0"/>
    <w:rPr>
      <w:sz w:val="18"/>
      <w:szCs w:val="18"/>
    </w:rPr>
  </w:style>
  <w:style w:type="paragraph" w:styleId="6">
    <w:name w:val="footer"/>
    <w:basedOn w:val="1"/>
    <w:link w:val="18"/>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39"/>
  </w:style>
  <w:style w:type="paragraph" w:styleId="9">
    <w:name w:val="toc 2"/>
    <w:basedOn w:val="1"/>
    <w:next w:val="1"/>
    <w:uiPriority w:val="39"/>
    <w:pPr>
      <w:ind w:left="420" w:leftChars="200"/>
    </w:pPr>
  </w:style>
  <w:style w:type="character" w:styleId="12">
    <w:name w:val="page number"/>
    <w:basedOn w:val="11"/>
    <w:uiPriority w:val="0"/>
  </w:style>
  <w:style w:type="character" w:styleId="13">
    <w:name w:val="Emphasis"/>
    <w:qFormat/>
    <w:uiPriority w:val="0"/>
    <w:rPr>
      <w:color w:val="CC0000"/>
    </w:rPr>
  </w:style>
  <w:style w:type="character" w:styleId="14">
    <w:name w:val="Hyperlink"/>
    <w:unhideWhenUsed/>
    <w:uiPriority w:val="99"/>
    <w:rPr>
      <w:color w:val="0563C1"/>
      <w:u w:val="single"/>
    </w:rPr>
  </w:style>
  <w:style w:type="character" w:styleId="15">
    <w:name w:val="HTML Cite"/>
    <w:uiPriority w:val="0"/>
    <w:rPr>
      <w:color w:val="008000"/>
    </w:rPr>
  </w:style>
  <w:style w:type="character" w:customStyle="1" w:styleId="16">
    <w:name w:val="标题 1 字符"/>
    <w:link w:val="2"/>
    <w:qFormat/>
    <w:uiPriority w:val="9"/>
    <w:rPr>
      <w:b/>
      <w:bCs/>
      <w:kern w:val="44"/>
      <w:sz w:val="44"/>
      <w:szCs w:val="44"/>
    </w:rPr>
  </w:style>
  <w:style w:type="character" w:customStyle="1" w:styleId="17">
    <w:name w:val="标题 2 字符"/>
    <w:link w:val="3"/>
    <w:qFormat/>
    <w:uiPriority w:val="9"/>
    <w:rPr>
      <w:rFonts w:ascii="Cambria" w:hAnsi="Cambria"/>
      <w:b/>
      <w:bCs/>
      <w:kern w:val="2"/>
      <w:sz w:val="32"/>
      <w:szCs w:val="32"/>
    </w:rPr>
  </w:style>
  <w:style w:type="character" w:customStyle="1" w:styleId="18">
    <w:name w:val="页脚 Char"/>
    <w:link w:val="6"/>
    <w:uiPriority w:val="99"/>
    <w:rPr>
      <w:rFonts w:eastAsia="仿宋_GB2312"/>
      <w:kern w:val="2"/>
      <w:sz w:val="18"/>
      <w:szCs w:val="18"/>
    </w:rPr>
  </w:style>
  <w:style w:type="character" w:customStyle="1" w:styleId="19">
    <w:name w:val="apple-style-span"/>
    <w:basedOn w:val="11"/>
    <w:uiPriority w:val="0"/>
  </w:style>
  <w:style w:type="paragraph" w:styleId="20">
    <w:name w:val=""/>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3105</Words>
  <Characters>17700</Characters>
  <Lines>147</Lines>
  <Paragraphs>41</Paragraphs>
  <TotalTime>11</TotalTime>
  <ScaleCrop>false</ScaleCrop>
  <LinksUpToDate>false</LinksUpToDate>
  <CharactersWithSpaces>20764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2021-08-19T09:44:00Z</dcterms:created>
  <dc:creator>微软用户</dc:creator>
  <cp:lastModifiedBy>予仔</cp:lastModifiedBy>
  <cp:lastPrinted>2021-01-14T14:43:00Z</cp:lastPrinted>
  <dcterms:modified xsi:type="dcterms:W3CDTF">2025-06-24T11:13:14Z</dcterms:modified>
  <dc:title>遂宁市财政局关于公文处理工作的自查报告</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4BF658AFF39237D9CA175A68C172624C</vt:lpwstr>
  </property>
</Properties>
</file>