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sz w:val="72"/>
          <w:szCs w:val="72"/>
        </w:rPr>
      </w:pPr>
      <w:bookmarkStart w:id="0" w:name="_Toc15306267"/>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bookmarkEnd w:id="0"/>
    <w:p>
      <w:pPr>
        <w:adjustRightInd w:val="0"/>
        <w:snapToGrid w:val="0"/>
        <w:spacing w:line="360" w:lineRule="auto"/>
        <w:jc w:val="center"/>
        <w:outlineLvl w:val="0"/>
        <w:rPr>
          <w:rFonts w:eastAsia="方正小标宋简体"/>
          <w:sz w:val="68"/>
          <w:szCs w:val="72"/>
        </w:rPr>
      </w:pPr>
      <w:bookmarkStart w:id="1" w:name="_Toc15396597"/>
      <w:bookmarkStart w:id="2" w:name="_Toc113273287"/>
      <w:bookmarkStart w:id="3" w:name="_Toc15396475"/>
      <w:bookmarkStart w:id="4" w:name="_Toc15377193"/>
      <w:bookmarkStart w:id="5" w:name="_Toc15377425"/>
      <w:bookmarkStart w:id="6" w:name="_Toc15378441"/>
      <w:bookmarkStart w:id="7" w:name="_Toc113005467"/>
      <w:r>
        <w:rPr>
          <w:rFonts w:eastAsia="方正小标宋简体"/>
          <w:sz w:val="68"/>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eastAsia="方正小标宋简体"/>
          <w:sz w:val="68"/>
          <w:szCs w:val="72"/>
        </w:rPr>
      </w:pPr>
      <w:bookmarkStart w:id="8" w:name="_Toc113273288"/>
      <w:bookmarkStart w:id="9" w:name="_Toc15377194"/>
      <w:bookmarkStart w:id="10" w:name="_Toc15396476"/>
      <w:bookmarkStart w:id="11" w:name="_Toc15378442"/>
      <w:bookmarkStart w:id="12" w:name="_Toc15377426"/>
      <w:bookmarkStart w:id="13" w:name="_Toc15396598"/>
      <w:bookmarkStart w:id="14" w:name="_Toc113005468"/>
      <w:r>
        <w:rPr>
          <w:rFonts w:eastAsia="方正小标宋简体"/>
          <w:sz w:val="68"/>
          <w:szCs w:val="72"/>
        </w:rPr>
        <w:t>四川省</w:t>
      </w:r>
      <w:bookmarkStart w:id="15" w:name="_Toc15306268"/>
      <w:r>
        <w:rPr>
          <w:rFonts w:eastAsia="方正小标宋简体"/>
          <w:sz w:val="68"/>
          <w:szCs w:val="72"/>
        </w:rPr>
        <w:t>遂宁市票据监管中心</w:t>
      </w:r>
      <w:bookmarkEnd w:id="8"/>
    </w:p>
    <w:p>
      <w:pPr>
        <w:adjustRightInd w:val="0"/>
        <w:snapToGrid w:val="0"/>
        <w:spacing w:line="360" w:lineRule="auto"/>
        <w:jc w:val="center"/>
        <w:outlineLvl w:val="0"/>
        <w:rPr>
          <w:rFonts w:eastAsia="方正小标宋简体"/>
          <w:sz w:val="68"/>
          <w:szCs w:val="72"/>
        </w:rPr>
      </w:pPr>
      <w:bookmarkStart w:id="16" w:name="_Toc113273289"/>
      <w:r>
        <w:rPr>
          <w:rFonts w:eastAsia="方正小标宋简体"/>
          <w:sz w:val="68"/>
          <w:szCs w:val="72"/>
        </w:rPr>
        <w:t>单位决算</w:t>
      </w:r>
      <w:bookmarkEnd w:id="9"/>
      <w:bookmarkEnd w:id="10"/>
      <w:bookmarkEnd w:id="11"/>
      <w:bookmarkEnd w:id="12"/>
      <w:bookmarkEnd w:id="13"/>
      <w:bookmarkEnd w:id="14"/>
      <w:bookmarkEnd w:id="15"/>
      <w:bookmarkEnd w:id="16"/>
    </w:p>
    <w:p>
      <w:pPr>
        <w:overflowPunct w:val="0"/>
        <w:topLinePunct/>
        <w:spacing w:line="620" w:lineRule="exact"/>
        <w:ind w:firstLine="646" w:firstLineChars="200"/>
        <w:sectPr>
          <w:footerReference r:id="rId3" w:type="default"/>
          <w:footerReference r:id="rId4" w:type="even"/>
          <w:pgSz w:w="11906" w:h="16838"/>
          <w:pgMar w:top="1531" w:right="1418" w:bottom="1531" w:left="1418" w:header="851" w:footer="1123" w:gutter="0"/>
          <w:pgNumType w:fmt="numberInDash"/>
          <w:cols w:space="720" w:num="1"/>
          <w:titlePg/>
          <w:docGrid w:type="linesAndChars" w:linePitch="626" w:charSpace="804"/>
        </w:sectPr>
      </w:pPr>
    </w:p>
    <w:sdt>
      <w:sdtPr>
        <w:rPr>
          <w:rFonts w:ascii="Times New Roman" w:hAnsi="Times New Roman" w:cs="Times New Roman"/>
          <w:lang w:val="zh-CN"/>
        </w:rPr>
        <w:id w:val="774984616"/>
        <w:docPartObj>
          <w:docPartGallery w:val="Table of Contents"/>
          <w:docPartUnique/>
        </w:docPartObj>
      </w:sdtPr>
      <w:sdtEndPr>
        <w:rPr>
          <w:rFonts w:ascii="Times New Roman" w:hAnsi="Times New Roman" w:eastAsia="宋体" w:cs="Times New Roman"/>
          <w:color w:val="auto"/>
          <w:kern w:val="2"/>
          <w:sz w:val="32"/>
          <w:szCs w:val="24"/>
          <w:lang w:val="zh-CN"/>
        </w:rPr>
      </w:sdtEndPr>
      <w:sdtContent>
        <w:p>
          <w:pPr>
            <w:pStyle w:val="30"/>
            <w:jc w:val="center"/>
            <w:rPr>
              <w:rFonts w:ascii="Times New Roman" w:hAnsi="Times New Roman" w:eastAsia="方正小标宋_GBK" w:cs="Times New Roman"/>
              <w:b w:val="0"/>
              <w:color w:val="auto"/>
              <w:sz w:val="44"/>
              <w:szCs w:val="44"/>
              <w:lang w:val="zh-CN"/>
            </w:rPr>
          </w:pPr>
          <w:r>
            <w:rPr>
              <w:rFonts w:ascii="Times New Roman" w:hAnsi="Times New Roman" w:eastAsia="方正小标宋_GBK" w:cs="Times New Roman"/>
              <w:b w:val="0"/>
              <w:color w:val="auto"/>
              <w:sz w:val="44"/>
              <w:szCs w:val="44"/>
              <w:lang w:val="zh-CN"/>
            </w:rPr>
            <w:t>目  录</w:t>
          </w:r>
        </w:p>
        <w:p>
          <w:pPr>
            <w:rPr>
              <w:rFonts w:hint="default" w:eastAsia="方正小标宋_GBK"/>
              <w:lang w:val="en-US" w:eastAsia="zh-CN"/>
            </w:rPr>
          </w:pPr>
          <w:r>
            <w:rPr>
              <w:rFonts w:hint="eastAsia" w:eastAsia="方正小标宋_GBK" w:cs="Times New Roman"/>
              <w:b w:val="0"/>
              <w:color w:val="auto"/>
              <w:sz w:val="44"/>
              <w:szCs w:val="44"/>
              <w:lang w:val="en-US" w:eastAsia="zh-CN"/>
            </w:rPr>
            <w:t xml:space="preserve">           </w:t>
          </w: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p>
        <w:p>
          <w:pPr>
            <w:pStyle w:val="10"/>
            <w:spacing w:before="0"/>
            <w:jc w:val="both"/>
            <w:rPr>
              <w:rFonts w:ascii="Times New Roman" w:hAnsi="Times New Roman" w:eastAsiaTheme="minorEastAsia"/>
              <w:sz w:val="21"/>
              <w:szCs w:val="22"/>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"_Toc113273290" </w:instrText>
          </w:r>
          <w:r>
            <w:fldChar w:fldCharType="separate"/>
          </w:r>
          <w:r>
            <w:rPr>
              <w:rStyle w:val="15"/>
              <w:rFonts w:ascii="黑体" w:hAnsi="黑体" w:eastAsia="黑体"/>
            </w:rPr>
            <w:t>第一部分 单位概况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_Toc113273290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1"/>
            <w:ind w:left="0" w:leftChars="0" w:firstLine="640" w:firstLineChars="200"/>
            <w:rPr>
              <w:rFonts w:eastAsia="仿宋_GB2312"/>
              <w:sz w:val="21"/>
              <w:szCs w:val="22"/>
            </w:rPr>
          </w:pPr>
          <w:r>
            <w:fldChar w:fldCharType="begin"/>
          </w:r>
          <w:r>
            <w:instrText xml:space="preserve"> HYPERLINK \l "_Toc113273291" </w:instrText>
          </w:r>
          <w:r>
            <w:fldChar w:fldCharType="separate"/>
          </w:r>
          <w:r>
            <w:rPr>
              <w:rStyle w:val="15"/>
              <w:rFonts w:eastAsia="仿宋_GB2312"/>
            </w:rPr>
            <w:t>一、职能简介</w:t>
          </w:r>
          <w:r>
            <w:rPr>
              <w:rFonts w:eastAsia="仿宋_GB2312"/>
            </w:rPr>
            <w:tab/>
          </w:r>
          <w:r>
            <w:rPr>
              <w:rFonts w:eastAsia="仿宋_GB2312"/>
            </w:rPr>
            <w:fldChar w:fldCharType="begin"/>
          </w:r>
          <w:r>
            <w:rPr>
              <w:rFonts w:eastAsia="仿宋_GB2312"/>
            </w:rPr>
            <w:instrText xml:space="preserve"> PAGEREF _Toc113273291 \h </w:instrText>
          </w:r>
          <w:r>
            <w:rPr>
              <w:rFonts w:eastAsia="仿宋_GB2312"/>
            </w:rPr>
            <w:fldChar w:fldCharType="separate"/>
          </w:r>
          <w:r>
            <w:rPr>
              <w:rFonts w:eastAsia="仿宋_GB2312"/>
            </w:rPr>
            <w:t>1</w:t>
          </w:r>
          <w:r>
            <w:rPr>
              <w:rFonts w:eastAsia="仿宋_GB2312"/>
            </w:rPr>
            <w:fldChar w:fldCharType="end"/>
          </w:r>
          <w:r>
            <w:rPr>
              <w:rFonts w:eastAsia="仿宋_GB2312"/>
            </w:rPr>
            <w:fldChar w:fldCharType="end"/>
          </w:r>
        </w:p>
        <w:p>
          <w:pPr>
            <w:pStyle w:val="11"/>
            <w:ind w:left="0" w:leftChars="0" w:firstLine="640" w:firstLineChars="200"/>
            <w:rPr>
              <w:rFonts w:eastAsia="仿宋_GB2312"/>
              <w:sz w:val="21"/>
              <w:szCs w:val="22"/>
            </w:rPr>
          </w:pPr>
          <w:r>
            <w:fldChar w:fldCharType="begin"/>
          </w:r>
          <w:r>
            <w:instrText xml:space="preserve"> HYPERLINK \l "_Toc113273292" </w:instrText>
          </w:r>
          <w:r>
            <w:fldChar w:fldCharType="separate"/>
          </w:r>
          <w:r>
            <w:rPr>
              <w:rStyle w:val="15"/>
              <w:rFonts w:eastAsia="仿宋_GB2312"/>
            </w:rPr>
            <w:t>二、2021年重点工作完成情况</w:t>
          </w:r>
          <w:r>
            <w:rPr>
              <w:rFonts w:eastAsia="仿宋_GB2312"/>
            </w:rPr>
            <w:tab/>
          </w:r>
          <w:r>
            <w:rPr>
              <w:rFonts w:eastAsia="仿宋_GB2312"/>
            </w:rPr>
            <w:fldChar w:fldCharType="begin"/>
          </w:r>
          <w:r>
            <w:rPr>
              <w:rFonts w:eastAsia="仿宋_GB2312"/>
            </w:rPr>
            <w:instrText xml:space="preserve"> PAGEREF _Toc113273292 \h </w:instrText>
          </w:r>
          <w:r>
            <w:rPr>
              <w:rFonts w:eastAsia="仿宋_GB2312"/>
            </w:rPr>
            <w:fldChar w:fldCharType="separate"/>
          </w:r>
          <w:r>
            <w:rPr>
              <w:rFonts w:eastAsia="仿宋_GB2312"/>
            </w:rPr>
            <w:t>1</w:t>
          </w:r>
          <w:r>
            <w:rPr>
              <w:rFonts w:eastAsia="仿宋_GB2312"/>
            </w:rPr>
            <w:fldChar w:fldCharType="end"/>
          </w:r>
          <w:r>
            <w:rPr>
              <w:rFonts w:eastAsia="仿宋_GB2312"/>
            </w:rPr>
            <w:fldChar w:fldCharType="end"/>
          </w:r>
        </w:p>
        <w:p>
          <w:pPr>
            <w:pStyle w:val="10"/>
            <w:spacing w:before="0"/>
            <w:jc w:val="both"/>
            <w:rPr>
              <w:rFonts w:ascii="Times New Roman" w:hAnsi="Times New Roman" w:eastAsiaTheme="minorEastAsia"/>
              <w:sz w:val="21"/>
              <w:szCs w:val="22"/>
            </w:rPr>
          </w:pPr>
          <w:r>
            <w:fldChar w:fldCharType="begin"/>
          </w:r>
          <w:r>
            <w:instrText xml:space="preserve"> HYPERLINK \l "_Toc113273293" </w:instrText>
          </w:r>
          <w:r>
            <w:fldChar w:fldCharType="separate"/>
          </w:r>
          <w:r>
            <w:rPr>
              <w:rStyle w:val="15"/>
              <w:rFonts w:ascii="黑体" w:hAnsi="黑体" w:eastAsia="黑体"/>
            </w:rPr>
            <w:t>第二部分 2021年度单位决算情况说明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_Toc113273293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1"/>
            <w:ind w:left="0" w:leftChars="0" w:firstLine="640" w:firstLineChars="200"/>
            <w:rPr>
              <w:rFonts w:eastAsia="仿宋_GB2312"/>
              <w:sz w:val="28"/>
              <w:szCs w:val="28"/>
            </w:rPr>
          </w:pPr>
          <w:r>
            <w:fldChar w:fldCharType="begin"/>
          </w:r>
          <w:r>
            <w:instrText xml:space="preserve"> HYPERLINK \l "_Toc113273294" </w:instrText>
          </w:r>
          <w:r>
            <w:fldChar w:fldCharType="separate"/>
          </w:r>
          <w:r>
            <w:rPr>
              <w:rStyle w:val="15"/>
              <w:rFonts w:eastAsia="仿宋_GB2312"/>
              <w:sz w:val="28"/>
              <w:szCs w:val="28"/>
            </w:rPr>
            <w:t>一、收入支出决算总体情况说明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_Toc113273294 \h </w:instrText>
          </w:r>
          <w:r>
            <w:rPr>
              <w:rFonts w:eastAsia="仿宋_GB2312"/>
              <w:sz w:val="28"/>
              <w:szCs w:val="28"/>
            </w:rPr>
            <w:fldChar w:fldCharType="separate"/>
          </w:r>
          <w:r>
            <w:rPr>
              <w:rFonts w:eastAsia="仿宋_GB2312"/>
              <w:sz w:val="28"/>
              <w:szCs w:val="28"/>
            </w:rPr>
            <w:t>3</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"_Toc113273295" </w:instrText>
          </w:r>
          <w:r>
            <w:fldChar w:fldCharType="separate"/>
          </w:r>
          <w:r>
            <w:rPr>
              <w:rStyle w:val="15"/>
              <w:rFonts w:eastAsia="仿宋_GB2312"/>
              <w:sz w:val="28"/>
              <w:szCs w:val="28"/>
            </w:rPr>
            <w:t>二、收入决算情况说明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_Toc113273295 \h </w:instrText>
          </w:r>
          <w:r>
            <w:rPr>
              <w:rFonts w:eastAsia="仿宋_GB2312"/>
              <w:sz w:val="28"/>
              <w:szCs w:val="28"/>
            </w:rPr>
            <w:fldChar w:fldCharType="separate"/>
          </w:r>
          <w:r>
            <w:rPr>
              <w:rFonts w:eastAsia="仿宋_GB2312"/>
              <w:sz w:val="28"/>
              <w:szCs w:val="28"/>
            </w:rPr>
            <w:t>3</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"_Toc113273297" </w:instrText>
          </w:r>
          <w:r>
            <w:fldChar w:fldCharType="separate"/>
          </w:r>
          <w:r>
            <w:rPr>
              <w:rStyle w:val="15"/>
              <w:rFonts w:eastAsia="仿宋_GB2312"/>
              <w:sz w:val="28"/>
              <w:szCs w:val="28"/>
            </w:rPr>
            <w:t>三、支出决算情况说明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_Toc113273297 \h </w:instrText>
          </w:r>
          <w:r>
            <w:rPr>
              <w:rFonts w:eastAsia="仿宋_GB2312"/>
              <w:sz w:val="28"/>
              <w:szCs w:val="28"/>
            </w:rPr>
            <w:fldChar w:fldCharType="separate"/>
          </w:r>
          <w:r>
            <w:rPr>
              <w:rFonts w:eastAsia="仿宋_GB2312"/>
              <w:sz w:val="28"/>
              <w:szCs w:val="28"/>
            </w:rPr>
            <w:t>4</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"_Toc113273299" </w:instrText>
          </w:r>
          <w:r>
            <w:fldChar w:fldCharType="separate"/>
          </w:r>
          <w:r>
            <w:rPr>
              <w:rStyle w:val="15"/>
              <w:rFonts w:eastAsia="仿宋_GB2312"/>
              <w:sz w:val="28"/>
              <w:szCs w:val="28"/>
            </w:rPr>
            <w:t>四、财政拨款收入支出决算总体情况说明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_Toc113273299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"_Toc113273300" </w:instrText>
          </w:r>
          <w:r>
            <w:fldChar w:fldCharType="separate"/>
          </w:r>
          <w:r>
            <w:rPr>
              <w:rStyle w:val="15"/>
              <w:rFonts w:eastAsia="仿宋_GB2312"/>
              <w:sz w:val="28"/>
              <w:szCs w:val="28"/>
            </w:rPr>
            <w:t>五、一般公共预算财政拨款支出决算情况说明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_Toc113273300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"_Toc113273302" </w:instrText>
          </w:r>
          <w:r>
            <w:fldChar w:fldCharType="separate"/>
          </w:r>
          <w:r>
            <w:rPr>
              <w:rStyle w:val="15"/>
              <w:rFonts w:eastAsia="仿宋_GB2312"/>
              <w:sz w:val="28"/>
              <w:szCs w:val="28"/>
            </w:rPr>
            <w:t>六、一般公共预算财政拨款基本支出决算情况说明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_Toc113273302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"_Toc113273303" </w:instrText>
          </w:r>
          <w:r>
            <w:fldChar w:fldCharType="separate"/>
          </w:r>
          <w:r>
            <w:rPr>
              <w:rStyle w:val="15"/>
              <w:rFonts w:eastAsia="仿宋_GB2312"/>
              <w:sz w:val="28"/>
              <w:szCs w:val="28"/>
            </w:rPr>
            <w:t>七、“三公”经费财政拨款支出决算情况说明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_Toc113273303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"_Toc113273304" </w:instrText>
          </w:r>
          <w:r>
            <w:fldChar w:fldCharType="separate"/>
          </w:r>
          <w:r>
            <w:rPr>
              <w:rStyle w:val="15"/>
              <w:rFonts w:eastAsia="仿宋_GB2312"/>
              <w:sz w:val="28"/>
              <w:szCs w:val="28"/>
            </w:rPr>
            <w:t>八、政府性基金预算支出决算情况说明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_Toc113273304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"_Toc113273305" </w:instrText>
          </w:r>
          <w:r>
            <w:fldChar w:fldCharType="separate"/>
          </w:r>
          <w:r>
            <w:rPr>
              <w:rStyle w:val="15"/>
              <w:rFonts w:eastAsia="仿宋_GB2312"/>
              <w:sz w:val="28"/>
              <w:szCs w:val="28"/>
            </w:rPr>
            <w:t>九、国有资本经营预算支出决算情况说明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_Toc113273305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"_Toc113273306" </w:instrText>
          </w:r>
          <w:r>
            <w:fldChar w:fldCharType="separate"/>
          </w:r>
          <w:r>
            <w:rPr>
              <w:rStyle w:val="15"/>
              <w:rFonts w:eastAsia="仿宋_GB2312"/>
              <w:sz w:val="28"/>
              <w:szCs w:val="28"/>
            </w:rPr>
            <w:t>十、其他重要事项的情况说明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_Toc113273306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10"/>
            <w:spacing w:before="0"/>
            <w:jc w:val="both"/>
            <w:rPr>
              <w:rFonts w:ascii="Times New Roman" w:hAnsi="Times New Roman" w:eastAsia="仿宋_GB2312"/>
            </w:rPr>
          </w:pPr>
          <w:r>
            <w:fldChar w:fldCharType="begin"/>
          </w:r>
          <w:r>
            <w:instrText xml:space="preserve"> HYPERLINK \l "_Toc113273307" </w:instrText>
          </w:r>
          <w:r>
            <w:fldChar w:fldCharType="separate"/>
          </w:r>
          <w:r>
            <w:rPr>
              <w:rStyle w:val="15"/>
              <w:rFonts w:ascii="黑体" w:hAnsi="黑体" w:eastAsia="黑体"/>
            </w:rPr>
            <w:t>第三部分 名词解释</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_Toc113273307 \h </w:instrText>
          </w:r>
          <w:r>
            <w:rPr>
              <w:rFonts w:ascii="Times New Roman" w:hAnsi="Times New Roman" w:eastAsia="仿宋_GB2312"/>
            </w:rPr>
            <w:fldChar w:fldCharType="separate"/>
          </w:r>
          <w:r>
            <w:rPr>
              <w:rFonts w:ascii="Times New Roman" w:hAnsi="Times New Roman" w:eastAsia="仿宋_GB2312"/>
            </w:rPr>
            <w:t>11</w:t>
          </w:r>
          <w:r>
            <w:rPr>
              <w:rFonts w:ascii="Times New Roman" w:hAnsi="Times New Roman" w:eastAsia="仿宋_GB2312"/>
            </w:rPr>
            <w:fldChar w:fldCharType="end"/>
          </w:r>
          <w:r>
            <w:rPr>
              <w:rFonts w:ascii="Times New Roman" w:hAnsi="Times New Roman" w:eastAsia="仿宋_GB2312"/>
            </w:rPr>
            <w:fldChar w:fldCharType="end"/>
          </w:r>
        </w:p>
        <w:p>
          <w:pPr>
            <w:pStyle w:val="10"/>
            <w:spacing w:before="0"/>
            <w:jc w:val="both"/>
            <w:rPr>
              <w:rFonts w:ascii="Times New Roman" w:hAnsi="Times New Roman" w:eastAsia="仿宋_GB2312"/>
            </w:rPr>
          </w:pPr>
          <w:r>
            <w:fldChar w:fldCharType="begin"/>
          </w:r>
          <w:r>
            <w:instrText xml:space="preserve"> HYPERLINK \l "_Toc113273308" </w:instrText>
          </w:r>
          <w:r>
            <w:fldChar w:fldCharType="separate"/>
          </w:r>
          <w:r>
            <w:rPr>
              <w:rStyle w:val="15"/>
              <w:rFonts w:ascii="黑体" w:hAnsi="黑体" w:eastAsia="黑体"/>
            </w:rPr>
            <w:t>第四部分 附件</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_Toc113273308 \h </w:instrText>
          </w:r>
          <w:r>
            <w:rPr>
              <w:rFonts w:ascii="Times New Roman" w:hAnsi="Times New Roman" w:eastAsia="仿宋_GB2312"/>
            </w:rPr>
            <w:fldChar w:fldCharType="separate"/>
          </w:r>
          <w:r>
            <w:rPr>
              <w:rFonts w:ascii="Times New Roman" w:hAnsi="Times New Roman" w:eastAsia="仿宋_GB2312"/>
            </w:rPr>
            <w:t>13</w:t>
          </w:r>
          <w:r>
            <w:rPr>
              <w:rFonts w:ascii="Times New Roman" w:hAnsi="Times New Roman" w:eastAsia="仿宋_GB2312"/>
            </w:rPr>
            <w:fldChar w:fldCharType="end"/>
          </w:r>
          <w:r>
            <w:rPr>
              <w:rFonts w:ascii="Times New Roman" w:hAnsi="Times New Roman" w:eastAsia="仿宋_GB2312"/>
            </w:rPr>
            <w:fldChar w:fldCharType="end"/>
          </w:r>
        </w:p>
        <w:p>
          <w:pPr>
            <w:pStyle w:val="10"/>
            <w:spacing w:before="0"/>
            <w:jc w:val="both"/>
            <w:rPr>
              <w:rFonts w:ascii="Times New Roman" w:hAnsi="Times New Roman" w:eastAsia="仿宋_GB2312"/>
            </w:rPr>
          </w:pPr>
          <w:r>
            <w:fldChar w:fldCharType="begin"/>
          </w:r>
          <w:r>
            <w:instrText xml:space="preserve"> HYPERLINK \l "_Toc113273309" </w:instrText>
          </w:r>
          <w:r>
            <w:fldChar w:fldCharType="separate"/>
          </w:r>
          <w:r>
            <w:rPr>
              <w:rStyle w:val="15"/>
              <w:rFonts w:ascii="黑体" w:hAnsi="黑体" w:eastAsia="黑体"/>
            </w:rPr>
            <w:t>第五部分 附表</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_Toc113273309 \h </w:instrText>
          </w:r>
          <w:r>
            <w:rPr>
              <w:rFonts w:ascii="Times New Roman" w:hAnsi="Times New Roman" w:eastAsia="仿宋_GB2312"/>
            </w:rPr>
            <w:fldChar w:fldCharType="separate"/>
          </w:r>
          <w:r>
            <w:rPr>
              <w:rFonts w:ascii="Times New Roman" w:hAnsi="Times New Roman" w:eastAsia="仿宋_GB2312"/>
            </w:rPr>
            <w:t>19</w:t>
          </w:r>
          <w:r>
            <w:rPr>
              <w:rFonts w:ascii="Times New Roman" w:hAnsi="Times New Roman" w:eastAsia="仿宋_GB2312"/>
            </w:rPr>
            <w:fldChar w:fldCharType="end"/>
          </w:r>
          <w:r>
            <w:rPr>
              <w:rFonts w:ascii="Times New Roman" w:hAnsi="Times New Roman" w:eastAsia="仿宋_GB2312"/>
            </w:rPr>
            <w:fldChar w:fldCharType="end"/>
          </w:r>
        </w:p>
        <w:p>
          <w:pPr>
            <w:pStyle w:val="11"/>
            <w:ind w:left="0" w:leftChars="0" w:firstLine="640" w:firstLineChars="200"/>
            <w:rPr>
              <w:rFonts w:eastAsia="仿宋_GB2312"/>
              <w:sz w:val="28"/>
              <w:szCs w:val="28"/>
            </w:rPr>
          </w:pPr>
          <w:r>
            <w:fldChar w:fldCharType="begin"/>
          </w:r>
          <w:r>
            <w:instrText xml:space="preserve"> HYPERLINK \l "_Toc113273310" </w:instrText>
          </w:r>
          <w:r>
            <w:fldChar w:fldCharType="separate"/>
          </w:r>
          <w:r>
            <w:rPr>
              <w:rStyle w:val="15"/>
              <w:rFonts w:eastAsia="仿宋_GB2312"/>
              <w:sz w:val="28"/>
              <w:szCs w:val="28"/>
            </w:rPr>
            <w:t>一、收入支出决算总表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_Toc113273310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"_Toc113273311" </w:instrText>
          </w:r>
          <w:r>
            <w:fldChar w:fldCharType="separate"/>
          </w:r>
          <w:r>
            <w:rPr>
              <w:rStyle w:val="15"/>
              <w:rFonts w:eastAsia="仿宋_GB2312"/>
              <w:sz w:val="28"/>
              <w:szCs w:val="28"/>
            </w:rPr>
            <w:t>二、收入决算表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_Toc113273311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"_Toc113273312" </w:instrText>
          </w:r>
          <w:r>
            <w:fldChar w:fldCharType="separate"/>
          </w:r>
          <w:r>
            <w:rPr>
              <w:rStyle w:val="15"/>
              <w:rFonts w:eastAsia="仿宋_GB2312"/>
              <w:sz w:val="28"/>
              <w:szCs w:val="28"/>
            </w:rPr>
            <w:t>三、支出决算表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_Toc113273312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"_Toc113273313" </w:instrText>
          </w:r>
          <w:r>
            <w:fldChar w:fldCharType="separate"/>
          </w:r>
          <w:r>
            <w:rPr>
              <w:rStyle w:val="15"/>
              <w:rFonts w:eastAsia="仿宋_GB2312"/>
              <w:sz w:val="28"/>
              <w:szCs w:val="28"/>
            </w:rPr>
            <w:t>四、财政拨款收入支出决算总表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_Toc113273313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"_Toc113273314" </w:instrText>
          </w:r>
          <w:r>
            <w:fldChar w:fldCharType="separate"/>
          </w:r>
          <w:r>
            <w:rPr>
              <w:rStyle w:val="15"/>
              <w:rFonts w:eastAsia="仿宋_GB2312"/>
              <w:sz w:val="28"/>
              <w:szCs w:val="28"/>
            </w:rPr>
            <w:t>五、财政拨款支出决算明细表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_Toc113273314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"_Toc113273315" </w:instrText>
          </w:r>
          <w:r>
            <w:fldChar w:fldCharType="separate"/>
          </w:r>
          <w:r>
            <w:rPr>
              <w:rStyle w:val="15"/>
              <w:rFonts w:eastAsia="仿宋_GB2312"/>
              <w:sz w:val="28"/>
              <w:szCs w:val="28"/>
            </w:rPr>
            <w:t>六、一般公共预算财政拨款支出决算表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_Toc113273315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"_Toc113273316" </w:instrText>
          </w:r>
          <w:r>
            <w:fldChar w:fldCharType="separate"/>
          </w:r>
          <w:r>
            <w:rPr>
              <w:rStyle w:val="15"/>
              <w:rFonts w:eastAsia="仿宋_GB2312"/>
              <w:sz w:val="28"/>
              <w:szCs w:val="28"/>
            </w:rPr>
            <w:t>七、一般公共预算财政拨款支出决算明细表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_Toc113273316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"_Toc113273317" </w:instrText>
          </w:r>
          <w:r>
            <w:fldChar w:fldCharType="separate"/>
          </w:r>
          <w:r>
            <w:rPr>
              <w:rStyle w:val="15"/>
              <w:rFonts w:eastAsia="仿宋_GB2312"/>
              <w:sz w:val="28"/>
              <w:szCs w:val="28"/>
            </w:rPr>
            <w:t>八、一般公共预算财政拨款基本支出决算表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_Toc113273317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"_Toc113273318" </w:instrText>
          </w:r>
          <w:r>
            <w:fldChar w:fldCharType="separate"/>
          </w:r>
          <w:r>
            <w:rPr>
              <w:rStyle w:val="15"/>
              <w:rFonts w:eastAsia="仿宋_GB2312"/>
              <w:sz w:val="28"/>
              <w:szCs w:val="28"/>
            </w:rPr>
            <w:t>九、一般公共预算财政拨款项目支出决算表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_Toc113273318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"_Toc113273319" </w:instrText>
          </w:r>
          <w:r>
            <w:fldChar w:fldCharType="separate"/>
          </w:r>
          <w:r>
            <w:rPr>
              <w:rStyle w:val="15"/>
              <w:rFonts w:eastAsia="仿宋_GB2312"/>
              <w:sz w:val="28"/>
              <w:szCs w:val="28"/>
            </w:rPr>
            <w:t>十、一般公共预算财政拨款“三公”经费支出决算表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_Toc113273319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"_Toc113273320" </w:instrText>
          </w:r>
          <w:r>
            <w:fldChar w:fldCharType="separate"/>
          </w:r>
          <w:r>
            <w:rPr>
              <w:rStyle w:val="15"/>
              <w:rFonts w:eastAsia="仿宋_GB2312"/>
              <w:sz w:val="28"/>
              <w:szCs w:val="28"/>
            </w:rPr>
            <w:t>十一、政府性基金预算财政拨款收入支出决算表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_Toc113273320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"_Toc113273321" </w:instrText>
          </w:r>
          <w:r>
            <w:fldChar w:fldCharType="separate"/>
          </w:r>
          <w:r>
            <w:rPr>
              <w:rStyle w:val="15"/>
              <w:rFonts w:eastAsia="仿宋_GB2312"/>
              <w:sz w:val="28"/>
              <w:szCs w:val="28"/>
            </w:rPr>
            <w:t>十二、政府性基金预算财政拨款“三公”经费支出决算表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_Toc113273321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"_Toc113273322" </w:instrText>
          </w:r>
          <w:r>
            <w:fldChar w:fldCharType="separate"/>
          </w:r>
          <w:r>
            <w:rPr>
              <w:rStyle w:val="15"/>
              <w:rFonts w:eastAsia="仿宋_GB2312"/>
              <w:sz w:val="28"/>
              <w:szCs w:val="28"/>
            </w:rPr>
            <w:t>十三、国有资本经营预算财政拨款收入支出决算表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_Toc113273322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pStyle w:val="11"/>
            <w:ind w:left="0" w:leftChars="0" w:firstLine="640" w:firstLineChars="200"/>
            <w:rPr>
              <w:rFonts w:eastAsia="仿宋_GB2312"/>
              <w:sz w:val="28"/>
              <w:szCs w:val="28"/>
            </w:rPr>
          </w:pPr>
          <w:r>
            <w:fldChar w:fldCharType="begin"/>
          </w:r>
          <w:r>
            <w:instrText xml:space="preserve"> HYPERLINK \l "_Toc113273323" </w:instrText>
          </w:r>
          <w:r>
            <w:fldChar w:fldCharType="separate"/>
          </w:r>
          <w:r>
            <w:rPr>
              <w:rStyle w:val="15"/>
              <w:rFonts w:eastAsia="仿宋_GB2312"/>
              <w:sz w:val="28"/>
              <w:szCs w:val="28"/>
            </w:rPr>
            <w:t>十四、国有资本经营预算财政拨款支出决算表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_Toc113273323 \h </w:instrText>
          </w:r>
          <w:r>
            <w:rPr>
              <w:rFonts w:eastAsia="仿宋_GB2312"/>
              <w:sz w:val="28"/>
              <w:szCs w:val="28"/>
            </w:rPr>
            <w:fldChar w:fldCharType="separate"/>
          </w:r>
          <w:r>
            <w:rPr>
              <w:rFonts w:eastAsia="仿宋_GB2312"/>
              <w:sz w:val="28"/>
              <w:szCs w:val="28"/>
            </w:rPr>
            <w:t>19</w:t>
          </w:r>
          <w:r>
            <w:rPr>
              <w:rFonts w:eastAsia="仿宋_GB2312"/>
              <w:sz w:val="28"/>
              <w:szCs w:val="28"/>
            </w:rPr>
            <w:fldChar w:fldCharType="end"/>
          </w:r>
          <w:r>
            <w:rPr>
              <w:rFonts w:eastAsia="仿宋_GB2312"/>
              <w:sz w:val="28"/>
              <w:szCs w:val="28"/>
            </w:rPr>
            <w:fldChar w:fldCharType="end"/>
          </w:r>
        </w:p>
        <w:p>
          <w:pPr>
            <w:ind w:firstLine="640" w:firstLineChars="200"/>
          </w:pPr>
          <w:r>
            <w:rPr>
              <w:b/>
              <w:bCs/>
              <w:lang w:val="zh-CN"/>
            </w:rPr>
            <w:fldChar w:fldCharType="end"/>
          </w:r>
        </w:p>
      </w:sdtContent>
    </w:sdt>
    <w:p>
      <w:pPr>
        <w:widowControl/>
        <w:adjustRightInd w:val="0"/>
        <w:snapToGrid w:val="0"/>
        <w:spacing w:line="440" w:lineRule="exact"/>
        <w:ind w:firstLine="1320" w:firstLineChars="550"/>
        <w:jc w:val="left"/>
        <w:rPr>
          <w:rFonts w:eastAsia="仿宋"/>
          <w:sz w:val="24"/>
        </w:rPr>
      </w:pPr>
      <w:r>
        <w:rPr>
          <w:rFonts w:eastAsia="仿宋"/>
          <w:sz w:val="24"/>
        </w:rPr>
        <w:t xml:space="preserve"> (注：请单位根据实际注明页码)</w:t>
      </w:r>
    </w:p>
    <w:p>
      <w:pPr>
        <w:widowControl/>
        <w:spacing w:line="440" w:lineRule="exact"/>
        <w:jc w:val="left"/>
        <w:rPr>
          <w:rFonts w:eastAsia="仿宋"/>
          <w:b/>
          <w:sz w:val="24"/>
        </w:rPr>
        <w:sectPr>
          <w:headerReference r:id="rId5" w:type="default"/>
          <w:footerReference r:id="rId6" w:type="default"/>
          <w:pgSz w:w="11906" w:h="16838"/>
          <w:pgMar w:top="1531" w:right="1418" w:bottom="1531" w:left="1418" w:header="851" w:footer="992" w:gutter="0"/>
          <w:pgNumType w:start="1"/>
          <w:cols w:space="425" w:num="1"/>
          <w:titlePg/>
          <w:docGrid w:type="linesAndChars" w:linePitch="626" w:charSpace="0"/>
        </w:sectPr>
      </w:pPr>
      <w:bookmarkStart w:id="17" w:name="_Toc15396599"/>
      <w:bookmarkStart w:id="18" w:name="_Toc15377196"/>
      <w:r>
        <w:rPr>
          <w:rFonts w:eastAsia="仿宋"/>
          <w:b/>
          <w:sz w:val="24"/>
        </w:rPr>
        <w:br w:type="page"/>
      </w:r>
    </w:p>
    <w:p>
      <w:pPr>
        <w:widowControl/>
        <w:spacing w:line="440" w:lineRule="exact"/>
        <w:jc w:val="left"/>
        <w:rPr>
          <w:rFonts w:eastAsia="仿宋"/>
          <w:bCs/>
          <w:kern w:val="44"/>
          <w:sz w:val="24"/>
        </w:rPr>
      </w:pPr>
    </w:p>
    <w:p>
      <w:pPr>
        <w:pStyle w:val="3"/>
        <w:spacing w:before="0" w:after="0" w:line="700" w:lineRule="exact"/>
        <w:jc w:val="center"/>
        <w:rPr>
          <w:rStyle w:val="24"/>
          <w:rFonts w:eastAsia="方正小标宋_GBK"/>
          <w:b/>
          <w:bCs/>
        </w:rPr>
      </w:pPr>
      <w:bookmarkStart w:id="19" w:name="_Toc113273290"/>
      <w:r>
        <w:rPr>
          <w:rFonts w:eastAsia="方正小标宋_GBK"/>
          <w:b w:val="0"/>
        </w:rPr>
        <w:t>第一部分 单位</w:t>
      </w:r>
      <w:r>
        <w:t>概况</w:t>
      </w:r>
      <w:bookmarkEnd w:id="17"/>
      <w:bookmarkEnd w:id="18"/>
      <w:bookmarkEnd w:id="19"/>
    </w:p>
    <w:p>
      <w:pPr>
        <w:spacing w:line="620" w:lineRule="exact"/>
        <w:jc w:val="left"/>
        <w:rPr>
          <w:rFonts w:eastAsia="黑体"/>
          <w:szCs w:val="32"/>
        </w:rPr>
      </w:pPr>
    </w:p>
    <w:p>
      <w:pPr>
        <w:pStyle w:val="4"/>
        <w:spacing w:before="0" w:after="0" w:line="240" w:lineRule="auto"/>
        <w:ind w:firstLine="640" w:firstLineChars="200"/>
        <w:rPr>
          <w:rStyle w:val="25"/>
          <w:rFonts w:ascii="Times New Roman" w:hAnsi="Times New Roman" w:eastAsia="黑体" w:cs="Times New Roman"/>
          <w:b w:val="0"/>
          <w:bCs/>
        </w:rPr>
      </w:pPr>
      <w:bookmarkStart w:id="20" w:name="_Toc113273291"/>
      <w:bookmarkStart w:id="21" w:name="_Toc15377197"/>
      <w:bookmarkStart w:id="22" w:name="_Toc15396600"/>
      <w:r>
        <w:rPr>
          <w:rStyle w:val="25"/>
          <w:rFonts w:ascii="Times New Roman" w:hAnsi="Times New Roman" w:eastAsia="黑体" w:cs="Times New Roman"/>
          <w:b w:val="0"/>
          <w:bCs/>
        </w:rPr>
        <w:t>一、职能简介</w:t>
      </w:r>
      <w:bookmarkEnd w:id="20"/>
    </w:p>
    <w:p>
      <w:pPr>
        <w:spacing w:line="620" w:lineRule="exact"/>
        <w:ind w:firstLine="640" w:firstLineChars="200"/>
        <w:rPr>
          <w:rFonts w:eastAsia="仿宋_GB2312"/>
          <w:color w:val="000000"/>
          <w:kern w:val="0"/>
          <w:szCs w:val="32"/>
          <w:lang w:bidi="ar"/>
        </w:rPr>
      </w:pPr>
      <w:r>
        <w:rPr>
          <w:rFonts w:eastAsia="仿宋_GB2312"/>
          <w:color w:val="000000"/>
          <w:kern w:val="0"/>
          <w:szCs w:val="32"/>
          <w:lang w:bidi="ar"/>
        </w:rPr>
        <w:t>1. 主要职能，负责全市行政事业单位使用的财政票据的使用、监督管理、领用和发行工作，以及对票据的审查、稽查、核销工作，并配合搞好市直行政事业单位非税收入和“收支两条线”的管理工作。</w:t>
      </w:r>
    </w:p>
    <w:p>
      <w:pPr>
        <w:spacing w:line="620" w:lineRule="exact"/>
        <w:ind w:firstLine="640" w:firstLineChars="200"/>
        <w:rPr>
          <w:rFonts w:eastAsia="仿宋_GB2312"/>
          <w:bCs/>
          <w:szCs w:val="32"/>
        </w:rPr>
      </w:pPr>
      <w:r>
        <w:rPr>
          <w:rFonts w:eastAsia="仿宋_GB2312"/>
          <w:szCs w:val="32"/>
        </w:rPr>
        <w:t>2．机构情况，包括当年变动情况及原因。</w:t>
      </w:r>
      <w:r>
        <w:rPr>
          <w:rFonts w:eastAsia="仿宋_GB2312"/>
          <w:kern w:val="0"/>
          <w:szCs w:val="32"/>
          <w:lang w:bidi="ar"/>
        </w:rPr>
        <w:t>参照公务员管理的事业单位。</w:t>
      </w:r>
    </w:p>
    <w:p>
      <w:pPr>
        <w:pStyle w:val="4"/>
        <w:spacing w:before="0" w:after="0" w:line="240" w:lineRule="auto"/>
        <w:ind w:firstLine="640" w:firstLineChars="200"/>
        <w:rPr>
          <w:rStyle w:val="25"/>
          <w:rFonts w:ascii="Times New Roman" w:hAnsi="Times New Roman" w:eastAsia="黑体" w:cs="Times New Roman"/>
          <w:b w:val="0"/>
          <w:bCs/>
        </w:rPr>
      </w:pPr>
      <w:bookmarkStart w:id="23" w:name="_Toc113273292"/>
      <w:r>
        <w:rPr>
          <w:rStyle w:val="25"/>
          <w:rFonts w:ascii="Times New Roman" w:hAnsi="Times New Roman" w:eastAsia="黑体" w:cs="Times New Roman"/>
          <w:b w:val="0"/>
          <w:bCs/>
        </w:rPr>
        <w:t>二、2021年重点工作</w:t>
      </w:r>
      <w:bookmarkEnd w:id="21"/>
      <w:bookmarkEnd w:id="22"/>
      <w:r>
        <w:rPr>
          <w:rStyle w:val="25"/>
          <w:rFonts w:ascii="Times New Roman" w:hAnsi="Times New Roman" w:eastAsia="黑体" w:cs="Times New Roman"/>
          <w:b w:val="0"/>
          <w:bCs/>
        </w:rPr>
        <w:t>完成情况</w:t>
      </w:r>
      <w:bookmarkEnd w:id="23"/>
    </w:p>
    <w:p>
      <w:pPr>
        <w:spacing w:line="620" w:lineRule="exact"/>
        <w:ind w:firstLine="640" w:firstLineChars="200"/>
        <w:rPr>
          <w:rFonts w:eastAsia="仿宋"/>
          <w:szCs w:val="32"/>
        </w:rPr>
      </w:pPr>
      <w:r>
        <w:rPr>
          <w:rFonts w:eastAsia="仿宋"/>
          <w:szCs w:val="32"/>
        </w:rPr>
        <w:t>一是根据《财政票据管理办法》（财政部令第70 号）和《四川省财政票据实施办法的通知》相关管理规定，配合中、省推进非税收入收缴电子化管理、财政票据信息化管理等改革要求，以重建市级非税收入收缴管理系统为契机，结合市级财政票据管理实际，开展了市本级以前年度财政票据全面清理核销工作。经统计，我中心2021年共计核销票据47.5万份，核销金额14,200万元，进一步加强了财政票据的管理，规范了财政票据行为。二是推进运用财政电子票据管理系统，逐步建立科学规范的新型财政票据监管体系，全面提升财政票据监管水平和效率。依托计算机和网络技术手段，通过全程电子监控财政票据，改进财政票据监管方式，进一步发挥财政票据源头管控的作用，实现财政部门与财政票据用票单位之间信息互联互通，通过电子开票、自动核销、资金监管、统计分析等方式，充分发挥财政票据“以票控费、以票促收”的作用，为构建规范、高效、科学的政府非税收入管理体系奠定坚实基础。</w:t>
      </w:r>
    </w:p>
    <w:p/>
    <w:p>
      <w:pPr>
        <w:widowControl/>
        <w:jc w:val="left"/>
        <w:rPr>
          <w:rFonts w:eastAsia="仿宋"/>
          <w:kern w:val="0"/>
          <w:szCs w:val="32"/>
        </w:rPr>
      </w:pPr>
      <w:r>
        <w:rPr>
          <w:rFonts w:eastAsia="仿宋"/>
          <w:szCs w:val="32"/>
        </w:rPr>
        <w:br w:type="page"/>
      </w:r>
    </w:p>
    <w:p>
      <w:pPr>
        <w:pStyle w:val="3"/>
        <w:spacing w:before="0" w:after="0" w:line="700" w:lineRule="exact"/>
        <w:jc w:val="center"/>
        <w:rPr>
          <w:rFonts w:eastAsia="方正小标宋_GBK"/>
        </w:rPr>
      </w:pPr>
      <w:bookmarkStart w:id="24" w:name="_Toc113273293"/>
      <w:bookmarkStart w:id="25" w:name="_Toc15377204"/>
      <w:bookmarkStart w:id="26" w:name="_Toc15396602"/>
      <w:r>
        <w:rPr>
          <w:rFonts w:eastAsia="方正小标宋_GBK"/>
          <w:b w:val="0"/>
          <w:bCs/>
        </w:rPr>
        <w:t>第二部分 2021年度单位决算情况说明</w:t>
      </w:r>
      <w:bookmarkEnd w:id="24"/>
      <w:bookmarkEnd w:id="25"/>
      <w:bookmarkEnd w:id="26"/>
    </w:p>
    <w:p/>
    <w:p>
      <w:pPr>
        <w:pStyle w:val="4"/>
        <w:spacing w:before="0" w:after="0" w:line="240" w:lineRule="auto"/>
        <w:ind w:firstLine="640" w:firstLineChars="200"/>
        <w:rPr>
          <w:rStyle w:val="25"/>
          <w:rFonts w:ascii="Times New Roman" w:hAnsi="Times New Roman" w:eastAsia="黑体" w:cs="Times New Roman"/>
          <w:b w:val="0"/>
          <w:bCs/>
        </w:rPr>
      </w:pPr>
      <w:bookmarkStart w:id="27" w:name="_Toc15377205"/>
      <w:bookmarkStart w:id="28" w:name="_Toc113273294"/>
      <w:bookmarkStart w:id="29" w:name="_Toc15396603"/>
      <w:r>
        <w:rPr>
          <w:rStyle w:val="25"/>
          <w:rFonts w:ascii="Times New Roman" w:hAnsi="Times New Roman" w:eastAsia="黑体" w:cs="Times New Roman"/>
          <w:b w:val="0"/>
          <w:bCs/>
        </w:rPr>
        <w:t>一、收入支出决算总体情况说明</w:t>
      </w:r>
      <w:bookmarkEnd w:id="27"/>
      <w:bookmarkEnd w:id="28"/>
      <w:bookmarkEnd w:id="29"/>
    </w:p>
    <w:p>
      <w:pPr>
        <w:snapToGrid w:val="0"/>
        <w:spacing w:line="620" w:lineRule="exact"/>
        <w:ind w:firstLine="640" w:firstLineChars="200"/>
        <w:rPr>
          <w:rFonts w:hint="eastAsia" w:eastAsia="仿宋_GB2312"/>
          <w:szCs w:val="32"/>
        </w:rPr>
      </w:pPr>
      <w:r>
        <w:rPr>
          <w:rFonts w:hint="eastAsia" w:eastAsia="仿宋_GB2312"/>
          <w:szCs w:val="32"/>
        </w:rPr>
        <w:t>2021年度收、支总计238.29万元。与2020年相比，收、支总计各增加27.81万元，增长13.21%。主要变动原因是职务变动、晋级晋档，增加相关费用。</w:t>
      </w:r>
    </w:p>
    <w:p>
      <w:pPr>
        <w:snapToGrid w:val="0"/>
        <w:spacing w:line="620" w:lineRule="exact"/>
        <w:ind w:firstLine="640" w:firstLineChars="200"/>
        <w:rPr>
          <w:rFonts w:hint="eastAsia" w:eastAsia="仿宋_GB2312"/>
          <w:szCs w:val="32"/>
        </w:rPr>
      </w:pPr>
      <w:r>
        <w:rPr>
          <w:rFonts w:hint="eastAsia" w:eastAsia="仿宋_GB2312"/>
          <w:szCs w:val="32"/>
        </w:rPr>
        <w:t>（图1：收、支决算总计变动情况图）（柱状图）</w:t>
      </w:r>
    </w:p>
    <w:p>
      <w:pPr>
        <w:pStyle w:val="2"/>
        <w:spacing w:before="187"/>
        <w:rPr>
          <w:rFonts w:ascii="Times New Roman"/>
        </w:rPr>
      </w:pPr>
    </w:p>
    <w:p>
      <w:pPr>
        <w:pStyle w:val="4"/>
        <w:spacing w:before="0" w:after="0" w:line="240" w:lineRule="auto"/>
        <w:ind w:firstLine="640" w:firstLineChars="200"/>
        <w:rPr>
          <w:rStyle w:val="25"/>
          <w:rFonts w:ascii="Times New Roman" w:hAnsi="Times New Roman" w:eastAsia="黑体" w:cs="Times New Roman"/>
          <w:b w:val="0"/>
          <w:bCs/>
        </w:rPr>
      </w:pPr>
      <w:bookmarkStart w:id="30" w:name="_Toc113273295"/>
      <w:r>
        <w:rPr>
          <w:rStyle w:val="25"/>
          <w:rFonts w:ascii="Times New Roman" w:hAnsi="Times New Roman" w:eastAsia="黑体" w:cs="Times New Roman"/>
          <w:b w:val="0"/>
          <w:bCs w:val="0"/>
        </w:rPr>
        <w:pict>
          <v:shape id="Object 6" o:spid="_x0000_s1037" o:spt="75" type="#_x0000_t75" style="position:absolute;left:0pt;margin-left:52.15pt;margin-top:6.9pt;height:222.75pt;width:366.75pt;mso-wrap-distance-bottom:0pt;mso-wrap-distance-top:0pt;z-index:251661312;mso-width-relative:page;mso-height-relative:page;" o:ole="t" filled="f" o:preferrelative="t" stroked="f" coordsize="21600,21600">
            <v:path/>
            <v:fill on="f" focussize="0,0"/>
            <v:stroke on="f" joinstyle="miter"/>
            <v:imagedata r:id="rId9" o:title=""/>
            <o:lock v:ext="edit" aspectratio="t"/>
            <w10:wrap type="topAndBottom"/>
          </v:shape>
          <o:OLEObject Type="Embed" ProgID="Excel.Chart.8" ShapeID="Object 6" DrawAspect="Content" ObjectID="_1468075725" r:id="rId8">
            <o:LockedField>false</o:LockedField>
          </o:OLEObject>
        </w:pict>
      </w:r>
      <w:bookmarkStart w:id="31" w:name="_Toc15377206"/>
      <w:bookmarkStart w:id="32" w:name="_Toc15396604"/>
      <w:r>
        <w:rPr>
          <w:rStyle w:val="25"/>
          <w:rFonts w:ascii="Times New Roman" w:hAnsi="Times New Roman" w:eastAsia="黑体" w:cs="Times New Roman"/>
          <w:b w:val="0"/>
          <w:bCs/>
        </w:rPr>
        <w:t>二、收入决算情况说明</w:t>
      </w:r>
      <w:bookmarkEnd w:id="30"/>
      <w:bookmarkEnd w:id="31"/>
      <w:bookmarkEnd w:id="32"/>
    </w:p>
    <w:p>
      <w:pPr>
        <w:snapToGrid w:val="0"/>
        <w:spacing w:line="620" w:lineRule="exact"/>
        <w:ind w:firstLine="640" w:firstLineChars="200"/>
        <w:rPr>
          <w:rFonts w:eastAsia="仿宋_GB2312"/>
          <w:szCs w:val="32"/>
        </w:rPr>
      </w:pPr>
      <w:bookmarkStart w:id="33" w:name="_Toc113273296"/>
      <w:r>
        <w:rPr>
          <w:rFonts w:eastAsia="仿宋_GB2312"/>
          <w:szCs w:val="32"/>
        </w:rPr>
        <w:t>2021年本年收入合计238.29万元，其中：一般公共预算财政拨款收入238.29万元，占100%；政府性基金预算财政拨款收入0万元，占0%；国有资本经营预算财政拨款收入0万元，占0%；上级补助收入0万元，占0%；事业收入0万元，占0%；经营收入0万元，占0%；附属单位上缴收入0万元，占0%；其他收入0万元，占0%。</w:t>
      </w:r>
      <w:bookmarkEnd w:id="33"/>
    </w:p>
    <w:p>
      <w:pPr>
        <w:snapToGrid w:val="0"/>
        <w:spacing w:line="620" w:lineRule="exact"/>
        <w:ind w:firstLine="640" w:firstLineChars="200"/>
        <w:rPr>
          <w:rFonts w:eastAsia="仿宋_GB2312"/>
          <w:szCs w:val="32"/>
        </w:rPr>
      </w:pPr>
      <w:r>
        <w:rPr>
          <w:rFonts w:eastAsia="仿宋_GB2312"/>
          <w:szCs w:val="32"/>
        </w:rPr>
        <w:t>（图2：收入决算结构图）（饼状图）</w:t>
      </w:r>
    </w:p>
    <w:p>
      <w:pPr>
        <w:pStyle w:val="2"/>
        <w:spacing w:before="187"/>
        <w:rPr>
          <w:rFonts w:ascii="Times New Roman"/>
        </w:rPr>
      </w:pPr>
      <w:r>
        <w:rPr>
          <w:rFonts w:ascii="Times New Roman"/>
          <w:sz w:val="32"/>
          <w:szCs w:val="32"/>
        </w:rPr>
        <w:pict>
          <v:shape id="_x0000_s1035" o:spid="_x0000_s1035" o:spt="75" type="#_x0000_t75" style="position:absolute;left:0pt;margin-left:21.15pt;margin-top:9.7pt;height:204.5pt;width:366.75pt;z-index:251659264;mso-width-relative:page;mso-height-relative:page;" o:ole="t" filled="f" o:preferrelative="t" stroked="f" coordsize="21600,21600">
            <v:path/>
            <v:fill on="f" focussize="0,0"/>
            <v:stroke on="f" joinstyle="miter"/>
            <v:imagedata r:id="rId11" o:title=""/>
            <o:lock v:ext="edit" aspectratio="t"/>
          </v:shape>
          <o:OLEObject Type="Embed" ProgID="Excel.Chart.8" ShapeID="_x0000_s1035" DrawAspect="Content" ObjectID="_1468075726" r:id="rId10">
            <o:LockedField>false</o:LockedField>
          </o:OLEObject>
        </w:pict>
      </w:r>
    </w:p>
    <w:p>
      <w:pPr>
        <w:spacing w:line="600" w:lineRule="exact"/>
        <w:ind w:firstLine="640" w:firstLineChars="200"/>
        <w:rPr>
          <w:rFonts w:eastAsia="仿宋_GB2312"/>
          <w:szCs w:val="32"/>
        </w:rPr>
      </w:pPr>
    </w:p>
    <w:p>
      <w:pPr>
        <w:pStyle w:val="2"/>
        <w:spacing w:before="187"/>
        <w:rPr>
          <w:rFonts w:ascii="Times New Roman"/>
          <w:sz w:val="32"/>
          <w:szCs w:val="32"/>
        </w:rPr>
      </w:pPr>
    </w:p>
    <w:p>
      <w:pPr>
        <w:pStyle w:val="2"/>
        <w:spacing w:before="187"/>
        <w:rPr>
          <w:rFonts w:ascii="Times New Roman"/>
          <w:sz w:val="32"/>
          <w:szCs w:val="32"/>
        </w:rPr>
      </w:pPr>
    </w:p>
    <w:p>
      <w:pPr>
        <w:pStyle w:val="2"/>
        <w:spacing w:before="187"/>
        <w:rPr>
          <w:rFonts w:ascii="Times New Roman"/>
          <w:sz w:val="32"/>
          <w:szCs w:val="32"/>
        </w:rPr>
      </w:pPr>
    </w:p>
    <w:p>
      <w:pPr>
        <w:pStyle w:val="2"/>
        <w:spacing w:before="187"/>
        <w:rPr>
          <w:rFonts w:ascii="Times New Roman"/>
          <w:sz w:val="32"/>
          <w:szCs w:val="32"/>
        </w:rPr>
      </w:pPr>
    </w:p>
    <w:p>
      <w:pPr>
        <w:pStyle w:val="4"/>
        <w:spacing w:before="0" w:after="0" w:line="240" w:lineRule="auto"/>
        <w:ind w:firstLine="640" w:firstLineChars="200"/>
        <w:rPr>
          <w:rStyle w:val="25"/>
          <w:rFonts w:ascii="Times New Roman" w:hAnsi="Times New Roman" w:eastAsia="黑体" w:cs="Times New Roman"/>
          <w:b w:val="0"/>
          <w:bCs/>
        </w:rPr>
      </w:pPr>
      <w:bookmarkStart w:id="34" w:name="_Toc15396605"/>
      <w:bookmarkStart w:id="35" w:name="_Toc113273297"/>
      <w:bookmarkStart w:id="36" w:name="_Toc15377207"/>
      <w:r>
        <w:rPr>
          <w:rStyle w:val="25"/>
          <w:rFonts w:ascii="Times New Roman" w:hAnsi="Times New Roman" w:eastAsia="黑体" w:cs="Times New Roman"/>
          <w:b w:val="0"/>
          <w:bCs w:val="0"/>
        </w:rPr>
        <w:t>三、支</w:t>
      </w:r>
      <w:r>
        <w:rPr>
          <w:rStyle w:val="25"/>
          <w:rFonts w:ascii="Times New Roman" w:hAnsi="Times New Roman" w:eastAsia="黑体" w:cs="Times New Roman"/>
          <w:b w:val="0"/>
          <w:bCs/>
        </w:rPr>
        <w:t>出决算情况说明</w:t>
      </w:r>
      <w:bookmarkEnd w:id="34"/>
      <w:bookmarkEnd w:id="35"/>
      <w:bookmarkEnd w:id="36"/>
    </w:p>
    <w:p>
      <w:pPr>
        <w:snapToGrid w:val="0"/>
        <w:spacing w:line="580" w:lineRule="exact"/>
        <w:ind w:firstLine="640" w:firstLineChars="200"/>
        <w:rPr>
          <w:rFonts w:eastAsia="仿宋_GB2312"/>
          <w:szCs w:val="32"/>
        </w:rPr>
      </w:pPr>
      <w:bookmarkStart w:id="37" w:name="_Toc113273298"/>
      <w:r>
        <w:rPr>
          <w:rFonts w:eastAsia="仿宋_GB2312"/>
          <w:szCs w:val="32"/>
        </w:rPr>
        <w:t>2021年本年支出合计238.29万元，其中：基本支出163.37万元，占68.56%；项目支出74.92万元，占31.44%；上缴上级支出0万元，占0%；经营支出0万元，占0%；对附属单位补助支出0万元，占0%。</w:t>
      </w:r>
      <w:bookmarkEnd w:id="37"/>
    </w:p>
    <w:p>
      <w:pPr>
        <w:snapToGrid w:val="0"/>
        <w:spacing w:line="580" w:lineRule="exact"/>
        <w:ind w:firstLine="640" w:firstLineChars="200"/>
        <w:rPr>
          <w:rFonts w:ascii="仿宋_GB2312" w:eastAsia="仿宋_GB2312"/>
          <w:szCs w:val="32"/>
        </w:rPr>
      </w:pPr>
      <w:r>
        <w:rPr>
          <w:rFonts w:ascii="仿宋_GB2312" w:eastAsia="仿宋_GB2312"/>
          <w:szCs w:val="32"/>
        </w:rPr>
        <w:t>（图3：支出决算结构图）（饼状图）</w:t>
      </w:r>
    </w:p>
    <w:p>
      <w:pPr>
        <w:pStyle w:val="2"/>
        <w:spacing w:before="187"/>
        <w:rPr>
          <w:rFonts w:ascii="Times New Roman"/>
        </w:rPr>
      </w:pPr>
      <w:r>
        <w:rPr>
          <w:rFonts w:ascii="Times New Roman"/>
          <w:sz w:val="32"/>
          <w:szCs w:val="32"/>
        </w:rPr>
        <w:pict>
          <v:shape id="_x0000_s1036" o:spid="_x0000_s1036" o:spt="75" type="#_x0000_t75" style="position:absolute;left:0pt;margin-left:29.4pt;margin-top:9.15pt;height:222.75pt;width:366.75pt;z-index:251660288;mso-width-relative:page;mso-height-relative:page;" o:ole="t" filled="f" o:preferrelative="t" stroked="f" coordsize="21600,21600">
            <v:path/>
            <v:fill on="f" focussize="0,0"/>
            <v:stroke on="f" joinstyle="miter"/>
            <v:imagedata r:id="rId13" o:title=""/>
            <o:lock v:ext="edit" aspectratio="t"/>
          </v:shape>
          <o:OLEObject Type="Embed" ProgID="Excel.Chart.8" ShapeID="_x0000_s1036" DrawAspect="Content" ObjectID="_1468075727" r:id="rId12">
            <o:LockedField>false</o:LockedField>
          </o:OLEObject>
        </w:pict>
      </w: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4"/>
        <w:spacing w:before="0" w:after="0" w:line="240" w:lineRule="auto"/>
        <w:ind w:firstLine="640" w:firstLineChars="200"/>
        <w:rPr>
          <w:rStyle w:val="25"/>
          <w:rFonts w:ascii="Times New Roman" w:hAnsi="Times New Roman" w:eastAsia="黑体" w:cs="Times New Roman"/>
          <w:b w:val="0"/>
          <w:bCs/>
        </w:rPr>
      </w:pPr>
      <w:bookmarkStart w:id="38" w:name="_Toc15377208"/>
      <w:bookmarkStart w:id="39" w:name="_Toc113273299"/>
      <w:bookmarkStart w:id="40" w:name="_Toc15396606"/>
      <w:r>
        <w:rPr>
          <w:rStyle w:val="25"/>
          <w:rFonts w:ascii="Times New Roman" w:hAnsi="Times New Roman" w:eastAsia="黑体" w:cs="Times New Roman"/>
          <w:b w:val="0"/>
          <w:bCs w:val="0"/>
        </w:rPr>
        <w:t>四、财</w:t>
      </w:r>
      <w:r>
        <w:rPr>
          <w:rStyle w:val="25"/>
          <w:rFonts w:ascii="Times New Roman" w:hAnsi="Times New Roman" w:eastAsia="黑体" w:cs="Times New Roman"/>
          <w:b w:val="0"/>
          <w:bCs/>
        </w:rPr>
        <w:t>政拨款收入支出决算总体情况说明</w:t>
      </w:r>
      <w:bookmarkEnd w:id="38"/>
      <w:bookmarkEnd w:id="39"/>
      <w:bookmarkEnd w:id="40"/>
    </w:p>
    <w:p>
      <w:pPr>
        <w:snapToGrid w:val="0"/>
        <w:spacing w:line="620" w:lineRule="exact"/>
        <w:ind w:firstLine="640" w:firstLineChars="200"/>
        <w:rPr>
          <w:rFonts w:eastAsia="仿宋_GB2312"/>
          <w:szCs w:val="32"/>
        </w:rPr>
      </w:pPr>
      <w:r>
        <w:rPr>
          <w:rFonts w:eastAsia="仿宋_GB2312"/>
          <w:szCs w:val="32"/>
        </w:rPr>
        <w:t>2021年财政拨款收、支总计238.29万元。与2020年相比，财政拨款收、支总计各增加27.81万元，增长13.21%。主要变动原因是职务变动、晋级晋档，增加相关费用。</w:t>
      </w:r>
    </w:p>
    <w:p>
      <w:pPr>
        <w:spacing w:line="600" w:lineRule="exact"/>
        <w:ind w:firstLine="640"/>
        <w:rPr>
          <w:rFonts w:eastAsia="仿宋"/>
          <w:b/>
          <w:szCs w:val="32"/>
        </w:rPr>
      </w:pPr>
    </w:p>
    <w:p>
      <w:pPr>
        <w:snapToGrid w:val="0"/>
        <w:spacing w:line="520" w:lineRule="exact"/>
        <w:ind w:firstLine="640" w:firstLineChars="200"/>
        <w:rPr>
          <w:rFonts w:eastAsia="仿宋"/>
          <w:szCs w:val="32"/>
        </w:rPr>
      </w:pPr>
      <w:r>
        <w:rPr>
          <w:rFonts w:eastAsia="仿宋"/>
          <w:szCs w:val="32"/>
        </w:rPr>
        <w:pict>
          <v:shape id="_x0000_s1042" o:spid="_x0000_s1042" o:spt="75" type="#_x0000_t75" style="position:absolute;left:0pt;margin-left:34pt;margin-top:38.3pt;height:222.75pt;width:366.75pt;mso-wrap-distance-bottom:0pt;mso-wrap-distance-top:0pt;z-index:251664384;mso-width-relative:page;mso-height-relative:page;" o:ole="t" filled="f" o:preferrelative="t" stroked="f" coordsize="21600,21600">
            <v:path/>
            <v:fill on="f" focussize="0,0"/>
            <v:stroke on="f" joinstyle="miter"/>
            <v:imagedata r:id="rId9" o:title=""/>
            <o:lock v:ext="edit" aspectratio="t"/>
            <w10:wrap type="topAndBottom"/>
          </v:shape>
          <o:OLEObject Type="Embed" ProgID="Excel.Chart.8" ShapeID="_x0000_s1042" DrawAspect="Content" ObjectID="_1468075728" r:id="rId14">
            <o:LockedField>false</o:LockedField>
          </o:OLEObject>
        </w:pict>
      </w:r>
      <w:r>
        <w:rPr>
          <w:rFonts w:eastAsia="仿宋"/>
          <w:szCs w:val="32"/>
        </w:rPr>
        <w:t>（图4：财政拨款收、支决算总计变动情况）（柱状图）</w:t>
      </w:r>
    </w:p>
    <w:p>
      <w:pPr>
        <w:spacing w:line="600" w:lineRule="exact"/>
        <w:ind w:firstLine="640" w:firstLineChars="200"/>
        <w:outlineLvl w:val="1"/>
        <w:rPr>
          <w:rFonts w:eastAsia="黑体"/>
          <w:szCs w:val="32"/>
        </w:rPr>
      </w:pPr>
      <w:bookmarkStart w:id="41" w:name="_Toc15377209"/>
      <w:bookmarkStart w:id="42" w:name="_Toc15396607"/>
    </w:p>
    <w:p>
      <w:pPr>
        <w:pStyle w:val="4"/>
        <w:spacing w:before="0" w:after="0" w:line="240" w:lineRule="auto"/>
        <w:ind w:firstLine="640" w:firstLineChars="200"/>
        <w:rPr>
          <w:rStyle w:val="25"/>
          <w:rFonts w:ascii="Times New Roman" w:hAnsi="Times New Roman" w:eastAsia="黑体" w:cs="Times New Roman"/>
          <w:b w:val="0"/>
          <w:bCs w:val="0"/>
        </w:rPr>
      </w:pPr>
      <w:bookmarkStart w:id="43" w:name="_Toc113273300"/>
      <w:r>
        <w:rPr>
          <w:rStyle w:val="25"/>
          <w:rFonts w:ascii="Times New Roman" w:hAnsi="Times New Roman" w:eastAsia="黑体" w:cs="Times New Roman"/>
          <w:b w:val="0"/>
          <w:bCs w:val="0"/>
        </w:rPr>
        <w:t>五、一般公共预算财政拨款支出决算情况说明</w:t>
      </w:r>
      <w:bookmarkEnd w:id="41"/>
      <w:bookmarkEnd w:id="42"/>
      <w:bookmarkEnd w:id="43"/>
    </w:p>
    <w:p>
      <w:pPr>
        <w:spacing w:line="600" w:lineRule="exact"/>
        <w:ind w:firstLine="640" w:firstLineChars="200"/>
        <w:rPr>
          <w:rFonts w:eastAsia="楷体_GB2312"/>
          <w:szCs w:val="32"/>
        </w:rPr>
      </w:pPr>
      <w:bookmarkStart w:id="44" w:name="_Toc15377210"/>
      <w:r>
        <w:rPr>
          <w:rFonts w:eastAsia="楷体_GB2312"/>
          <w:szCs w:val="32"/>
        </w:rPr>
        <w:t>（一）一般公共预算财政拨款支出决算总体情况</w:t>
      </w:r>
      <w:bookmarkEnd w:id="44"/>
    </w:p>
    <w:p>
      <w:pPr>
        <w:snapToGrid w:val="0"/>
        <w:spacing w:line="620" w:lineRule="exact"/>
        <w:ind w:firstLine="640" w:firstLineChars="200"/>
        <w:rPr>
          <w:rFonts w:eastAsia="仿宋_GB2312"/>
          <w:szCs w:val="32"/>
        </w:rPr>
      </w:pPr>
      <w:r>
        <w:rPr>
          <w:rFonts w:eastAsia="仿宋_GB2312"/>
          <w:szCs w:val="32"/>
        </w:rPr>
        <w:t>2021年一般公共预算财政拨款支出238.29万元，占本年支出合计的100%。与2020年相比，一般公共预算财政拨款支出增加27.81万元，增长13.21%。主要变动原因是职务变动、晋级晋档，增加相关费用。</w:t>
      </w:r>
    </w:p>
    <w:p>
      <w:pPr>
        <w:snapToGrid w:val="0"/>
        <w:spacing w:line="620" w:lineRule="exact"/>
        <w:ind w:firstLine="640" w:firstLineChars="200"/>
        <w:rPr>
          <w:rFonts w:eastAsia="仿宋_GB2312"/>
          <w:szCs w:val="32"/>
        </w:rPr>
      </w:pPr>
      <w:r>
        <w:rPr>
          <w:rFonts w:eastAsia="仿宋_GB2312"/>
          <w:szCs w:val="32"/>
        </w:rPr>
        <w:t>（图5：一般公共预算财政拨款支出决算变动情况）（柱状图）</w:t>
      </w:r>
    </w:p>
    <w:p>
      <w:pPr>
        <w:spacing w:line="600" w:lineRule="exact"/>
        <w:ind w:firstLine="420" w:firstLineChars="200"/>
        <w:rPr>
          <w:rFonts w:eastAsia="仿宋"/>
          <w:b/>
          <w:szCs w:val="32"/>
        </w:rPr>
      </w:pPr>
      <w:bookmarkStart w:id="45" w:name="_Toc15377211"/>
      <w:r>
        <w:rPr>
          <w:b/>
          <w:sz w:val="21"/>
          <w:szCs w:val="32"/>
        </w:rPr>
        <w:pict>
          <v:shape id="_x0000_s1038" o:spid="_x0000_s1038" o:spt="75" type="#_x0000_t75" style="position:absolute;left:0pt;margin-left:37.3pt;margin-top:3.2pt;height:222.75pt;width:366.75pt;mso-wrap-distance-bottom:0pt;mso-wrap-distance-top:0pt;z-index:251662336;mso-width-relative:page;mso-height-relative:page;" o:ole="t" filled="f" o:preferrelative="t" stroked="f" coordsize="21600,21600">
            <v:path/>
            <v:fill on="f" focussize="0,0"/>
            <v:stroke on="f" joinstyle="miter"/>
            <v:imagedata r:id="rId16" o:title=""/>
            <o:lock v:ext="edit" aspectratio="t"/>
            <w10:wrap type="topAndBottom"/>
          </v:shape>
          <o:OLEObject Type="Embed" ProgID="Excel.Chart.8" ShapeID="_x0000_s1038" DrawAspect="Content" ObjectID="_1468075729" r:id="rId15">
            <o:LockedField>false</o:LockedField>
          </o:OLEObject>
        </w:pict>
      </w:r>
    </w:p>
    <w:p>
      <w:pPr>
        <w:pStyle w:val="2"/>
        <w:spacing w:before="187"/>
        <w:ind w:firstLine="600" w:firstLineChars="200"/>
        <w:rPr>
          <w:rFonts w:eastAsia="楷体_GB2312"/>
          <w:szCs w:val="32"/>
        </w:rPr>
      </w:pPr>
      <w:r>
        <w:rPr>
          <w:rFonts w:eastAsia="楷体_GB2312"/>
          <w:szCs w:val="32"/>
        </w:rPr>
        <w:t>（二）一般公共预算财政拨款支出决算结构情况</w:t>
      </w:r>
      <w:bookmarkEnd w:id="45"/>
    </w:p>
    <w:p>
      <w:pPr>
        <w:snapToGrid w:val="0"/>
        <w:spacing w:line="620" w:lineRule="exact"/>
        <w:ind w:firstLine="640" w:firstLineChars="200"/>
        <w:rPr>
          <w:rFonts w:eastAsia="仿宋_GB2312"/>
          <w:szCs w:val="32"/>
        </w:rPr>
      </w:pPr>
      <w:r>
        <w:rPr>
          <w:rFonts w:eastAsia="仿宋_GB2312"/>
          <w:szCs w:val="32"/>
        </w:rPr>
        <w:t>2021年一般公共预算财政拨款支出238.29万元，主要用于以下方面:一般公共服务201（类）支出209.06万元，占87.73%；社会保障和就业208（类）支出11.34万元，占4.75%；卫生健康支出210（类）5.66万元，占2.37%；住房保障支出221（类）12.22万元，占5.12%；</w:t>
      </w:r>
    </w:p>
    <w:p>
      <w:pPr>
        <w:snapToGrid w:val="0"/>
        <w:spacing w:line="620" w:lineRule="exact"/>
        <w:ind w:firstLine="640" w:firstLineChars="200"/>
        <w:rPr>
          <w:rFonts w:eastAsia="仿宋_GB2312"/>
          <w:szCs w:val="32"/>
        </w:rPr>
      </w:pPr>
      <w:r>
        <w:rPr>
          <w:rFonts w:eastAsia="仿宋_GB2312"/>
          <w:szCs w:val="32"/>
        </w:rPr>
        <w:t>（图6：一般公共预算财政拨款支出决算结构）（饼状图）</w:t>
      </w:r>
    </w:p>
    <w:p>
      <w:pPr>
        <w:pStyle w:val="2"/>
        <w:spacing w:before="187"/>
        <w:rPr>
          <w:rFonts w:ascii="Times New Roman" w:eastAsia="仿宋"/>
          <w:sz w:val="32"/>
          <w:szCs w:val="32"/>
        </w:rPr>
      </w:pPr>
      <w:r>
        <w:rPr>
          <w:rFonts w:ascii="Times New Roman"/>
          <w:sz w:val="32"/>
          <w:szCs w:val="32"/>
        </w:rPr>
        <w:pict>
          <v:shape id="_x0000_s1039" o:spid="_x0000_s1039" o:spt="75" type="#_x0000_t75" style="position:absolute;left:0pt;margin-left:23.1pt;margin-top:19.7pt;height:179.75pt;width:414pt;z-index:251663360;mso-width-relative:page;mso-height-relative:page;" o:ole="t" filled="f" o:preferrelative="t" stroked="f" coordsize="21600,21600">
            <v:path/>
            <v:fill on="f" focussize="0,0"/>
            <v:stroke on="f" joinstyle="miter"/>
            <v:imagedata r:id="rId18" o:title=""/>
            <o:lock v:ext="edit" aspectratio="t"/>
          </v:shape>
          <o:OLEObject Type="Embed" ProgID="Excel.Chart.8" ShapeID="_x0000_s1039" DrawAspect="Content" ObjectID="_1468075730" r:id="rId17">
            <o:LockedField>false</o:LockedField>
          </o:OLEObject>
        </w:pict>
      </w: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hint="eastAsia" w:ascii="Times New Roman" w:eastAsia="仿宋"/>
          <w:sz w:val="32"/>
          <w:szCs w:val="32"/>
        </w:rPr>
      </w:pPr>
    </w:p>
    <w:p>
      <w:pPr>
        <w:pStyle w:val="2"/>
        <w:spacing w:before="187"/>
        <w:rPr>
          <w:rFonts w:ascii="Times New Roman" w:eastAsia="仿宋"/>
          <w:sz w:val="32"/>
          <w:szCs w:val="32"/>
        </w:rPr>
      </w:pPr>
    </w:p>
    <w:p>
      <w:pPr>
        <w:spacing w:line="600" w:lineRule="exact"/>
        <w:ind w:firstLine="640" w:firstLineChars="200"/>
        <w:rPr>
          <w:rFonts w:eastAsia="楷体_GB2312"/>
          <w:szCs w:val="32"/>
        </w:rPr>
      </w:pPr>
      <w:bookmarkStart w:id="46" w:name="_Toc15377212"/>
      <w:r>
        <w:rPr>
          <w:rFonts w:eastAsia="楷体_GB2312"/>
          <w:szCs w:val="32"/>
        </w:rPr>
        <w:t>（三）一般公共预算财政拨款支出决算具体情况</w:t>
      </w:r>
      <w:bookmarkEnd w:id="46"/>
    </w:p>
    <w:p>
      <w:pPr>
        <w:spacing w:line="600" w:lineRule="exact"/>
        <w:ind w:firstLine="640" w:firstLineChars="200"/>
        <w:outlineLvl w:val="2"/>
        <w:rPr>
          <w:rFonts w:eastAsia="仿宋"/>
          <w:szCs w:val="32"/>
        </w:rPr>
      </w:pPr>
      <w:bookmarkStart w:id="47" w:name="_Toc15377444"/>
      <w:bookmarkStart w:id="48" w:name="_Toc15378460"/>
      <w:bookmarkStart w:id="49" w:name="_Toc113273301"/>
      <w:bookmarkStart w:id="50" w:name="_Toc15377213"/>
      <w:r>
        <w:rPr>
          <w:rFonts w:eastAsia="仿宋"/>
          <w:b/>
          <w:szCs w:val="32"/>
        </w:rPr>
        <w:t>2021年一般公共预算支出决算数为238.29</w:t>
      </w:r>
      <w:r>
        <w:rPr>
          <w:rFonts w:eastAsia="仿宋"/>
          <w:szCs w:val="32"/>
        </w:rPr>
        <w:t>，</w:t>
      </w:r>
      <w:r>
        <w:rPr>
          <w:rStyle w:val="14"/>
          <w:rFonts w:eastAsia="仿宋"/>
          <w:bCs/>
          <w:szCs w:val="32"/>
        </w:rPr>
        <w:t>完成预算100%。其中：</w:t>
      </w:r>
      <w:bookmarkEnd w:id="47"/>
      <w:bookmarkEnd w:id="48"/>
      <w:bookmarkEnd w:id="49"/>
      <w:bookmarkEnd w:id="50"/>
    </w:p>
    <w:p>
      <w:pPr>
        <w:tabs>
          <w:tab w:val="left" w:pos="312"/>
        </w:tabs>
        <w:spacing w:line="600" w:lineRule="exact"/>
        <w:ind w:firstLine="640" w:firstLineChars="200"/>
        <w:rPr>
          <w:rStyle w:val="14"/>
          <w:rFonts w:eastAsia="仿宋"/>
          <w:b w:val="0"/>
          <w:bCs/>
          <w:szCs w:val="32"/>
        </w:rPr>
      </w:pPr>
      <w:r>
        <w:rPr>
          <w:rStyle w:val="14"/>
          <w:rFonts w:eastAsia="仿宋"/>
          <w:bCs/>
          <w:szCs w:val="32"/>
        </w:rPr>
        <w:t>1. 一般公共服务支持201（类）财政事务06（款）行政运行01（项）:</w:t>
      </w:r>
      <w:r>
        <w:rPr>
          <w:rStyle w:val="14"/>
          <w:rFonts w:eastAsia="仿宋"/>
          <w:b w:val="0"/>
          <w:bCs/>
          <w:szCs w:val="32"/>
        </w:rPr>
        <w:t xml:space="preserve"> 支出决算为134.01万元，完成预算%，决算数等于预算数的主要原因是…。</w:t>
      </w:r>
    </w:p>
    <w:p>
      <w:pPr>
        <w:tabs>
          <w:tab w:val="left" w:pos="312"/>
        </w:tabs>
        <w:spacing w:line="600" w:lineRule="exact"/>
        <w:ind w:firstLine="640" w:firstLineChars="200"/>
        <w:rPr>
          <w:rStyle w:val="14"/>
          <w:rFonts w:eastAsia="仿宋"/>
          <w:b w:val="0"/>
          <w:bCs/>
          <w:szCs w:val="32"/>
        </w:rPr>
      </w:pPr>
      <w:r>
        <w:rPr>
          <w:rStyle w:val="14"/>
          <w:rFonts w:eastAsia="仿宋"/>
          <w:bCs/>
          <w:szCs w:val="32"/>
        </w:rPr>
        <w:t>2. 一般公共服务支持201（类）财政事务06（款）一般行政管理事务02（项）:</w:t>
      </w:r>
      <w:r>
        <w:rPr>
          <w:rStyle w:val="14"/>
          <w:rFonts w:eastAsia="仿宋"/>
          <w:b w:val="0"/>
          <w:bCs/>
          <w:szCs w:val="32"/>
        </w:rPr>
        <w:t xml:space="preserve"> 支出决算为53.36万元，完成预算%，决算数等于预算数的主要原因是…。</w:t>
      </w:r>
    </w:p>
    <w:p>
      <w:pPr>
        <w:spacing w:line="600" w:lineRule="exact"/>
        <w:ind w:firstLine="640" w:firstLineChars="200"/>
        <w:rPr>
          <w:rStyle w:val="14"/>
          <w:rFonts w:eastAsia="仿宋"/>
          <w:b w:val="0"/>
          <w:bCs/>
          <w:szCs w:val="32"/>
        </w:rPr>
      </w:pPr>
      <w:r>
        <w:rPr>
          <w:rStyle w:val="14"/>
          <w:rFonts w:eastAsia="仿宋"/>
          <w:bCs/>
          <w:szCs w:val="32"/>
        </w:rPr>
        <w:t>3. 一般公共服务支持201（类）财政事务06（款）财政监察06（项）</w:t>
      </w:r>
      <w:r>
        <w:rPr>
          <w:rStyle w:val="14"/>
          <w:rFonts w:eastAsia="仿宋"/>
          <w:b w:val="0"/>
          <w:bCs/>
          <w:szCs w:val="32"/>
        </w:rPr>
        <w:t xml:space="preserve"> 支出决算为21.56万元，完成预算100%，决算数等于预算数。</w:t>
      </w:r>
    </w:p>
    <w:p>
      <w:pPr>
        <w:pStyle w:val="2"/>
        <w:spacing w:beforeLines="0"/>
        <w:ind w:firstLine="640" w:firstLineChars="200"/>
        <w:rPr>
          <w:rFonts w:ascii="Times New Roman"/>
        </w:rPr>
      </w:pPr>
      <w:r>
        <w:rPr>
          <w:rStyle w:val="14"/>
          <w:rFonts w:ascii="Times New Roman" w:eastAsia="仿宋"/>
          <w:bCs/>
          <w:sz w:val="32"/>
          <w:szCs w:val="32"/>
        </w:rPr>
        <w:t>4. 一般公共服务支持201（类）财政事务06（款）事业运行50（项）</w:t>
      </w:r>
      <w:r>
        <w:rPr>
          <w:rStyle w:val="14"/>
          <w:rFonts w:ascii="Times New Roman" w:eastAsia="仿宋"/>
          <w:b w:val="0"/>
          <w:bCs/>
          <w:sz w:val="32"/>
          <w:szCs w:val="32"/>
        </w:rPr>
        <w:t xml:space="preserve"> 支出决算为0.13万元，完成预算100%，决算数等于预算数。</w:t>
      </w:r>
    </w:p>
    <w:p>
      <w:pPr>
        <w:spacing w:line="600" w:lineRule="exact"/>
        <w:ind w:firstLine="640" w:firstLineChars="200"/>
        <w:rPr>
          <w:rStyle w:val="14"/>
          <w:rFonts w:eastAsia="仿宋"/>
          <w:b w:val="0"/>
          <w:bCs/>
          <w:szCs w:val="32"/>
        </w:rPr>
      </w:pPr>
      <w:r>
        <w:rPr>
          <w:rStyle w:val="14"/>
          <w:rFonts w:eastAsia="仿宋"/>
          <w:bCs/>
          <w:szCs w:val="32"/>
        </w:rPr>
        <w:t>5. 社会保障和就业支出208（类）行政事业单位养老支持05（款）行政单位离退休01（项）:</w:t>
      </w:r>
      <w:r>
        <w:rPr>
          <w:rStyle w:val="14"/>
          <w:rFonts w:eastAsia="仿宋"/>
          <w:b w:val="0"/>
          <w:bCs/>
          <w:szCs w:val="32"/>
        </w:rPr>
        <w:t xml:space="preserve"> 支出决算为1.9万元，完成预算100%，决算数等于预算数。</w:t>
      </w:r>
    </w:p>
    <w:p>
      <w:pPr>
        <w:pStyle w:val="2"/>
        <w:spacing w:beforeLines="0"/>
        <w:ind w:firstLine="640" w:firstLineChars="200"/>
        <w:rPr>
          <w:rStyle w:val="14"/>
          <w:rFonts w:ascii="Times New Roman" w:eastAsia="仿宋"/>
          <w:b w:val="0"/>
          <w:bCs/>
          <w:sz w:val="32"/>
          <w:szCs w:val="32"/>
        </w:rPr>
      </w:pPr>
      <w:r>
        <w:rPr>
          <w:rStyle w:val="14"/>
          <w:rFonts w:ascii="Times New Roman" w:eastAsia="仿宋"/>
          <w:bCs/>
          <w:sz w:val="32"/>
          <w:szCs w:val="32"/>
        </w:rPr>
        <w:t>6. 社会保障和就业支出208（类）行政事业单位养老支持05（款）事业单位离退休02（项）:</w:t>
      </w:r>
      <w:r>
        <w:rPr>
          <w:rStyle w:val="14"/>
          <w:rFonts w:ascii="Times New Roman" w:eastAsia="仿宋"/>
          <w:b w:val="0"/>
          <w:bCs/>
          <w:sz w:val="32"/>
          <w:szCs w:val="32"/>
        </w:rPr>
        <w:t xml:space="preserve"> 支出决算为0.04万元，完成预算100%，决算数等于预算数。</w:t>
      </w:r>
    </w:p>
    <w:p>
      <w:pPr>
        <w:pStyle w:val="2"/>
        <w:spacing w:beforeLines="0"/>
        <w:ind w:firstLine="640" w:firstLineChars="200"/>
        <w:rPr>
          <w:rStyle w:val="14"/>
          <w:rFonts w:ascii="Times New Roman" w:eastAsia="仿宋"/>
          <w:b w:val="0"/>
          <w:bCs/>
          <w:sz w:val="32"/>
          <w:szCs w:val="32"/>
        </w:rPr>
      </w:pPr>
      <w:r>
        <w:rPr>
          <w:rStyle w:val="14"/>
          <w:rFonts w:ascii="Times New Roman" w:eastAsia="仿宋"/>
          <w:b w:val="0"/>
          <w:bCs/>
          <w:sz w:val="32"/>
          <w:szCs w:val="32"/>
        </w:rPr>
        <w:t xml:space="preserve"> 7. </w:t>
      </w:r>
      <w:r>
        <w:rPr>
          <w:rStyle w:val="14"/>
          <w:rFonts w:ascii="Times New Roman" w:eastAsia="仿宋"/>
          <w:bCs/>
          <w:sz w:val="32"/>
          <w:szCs w:val="32"/>
        </w:rPr>
        <w:t>社会保障和就业支出208（类）行政事业单位养老支持05（款）机关事业单位基本养老保险缴费支出05（项）:</w:t>
      </w:r>
      <w:r>
        <w:rPr>
          <w:rStyle w:val="14"/>
          <w:rFonts w:ascii="Times New Roman" w:eastAsia="仿宋"/>
          <w:b w:val="0"/>
          <w:bCs/>
          <w:sz w:val="32"/>
          <w:szCs w:val="32"/>
        </w:rPr>
        <w:t xml:space="preserve"> 支出决算为9.4万元，完成预算100%，决算数等于预算数。</w:t>
      </w:r>
    </w:p>
    <w:p>
      <w:pPr>
        <w:spacing w:line="600" w:lineRule="exact"/>
        <w:ind w:firstLine="640" w:firstLineChars="200"/>
        <w:rPr>
          <w:rFonts w:eastAsia="仿宋"/>
          <w:b/>
          <w:szCs w:val="32"/>
        </w:rPr>
      </w:pPr>
      <w:r>
        <w:rPr>
          <w:rStyle w:val="14"/>
          <w:rFonts w:eastAsia="仿宋"/>
          <w:bCs/>
          <w:szCs w:val="32"/>
        </w:rPr>
        <w:t xml:space="preserve">8. </w:t>
      </w:r>
      <w:r>
        <w:rPr>
          <w:rFonts w:eastAsia="仿宋"/>
          <w:b/>
          <w:bCs/>
          <w:szCs w:val="32"/>
        </w:rPr>
        <w:t>卫生健康支出210</w:t>
      </w:r>
      <w:r>
        <w:rPr>
          <w:rStyle w:val="14"/>
          <w:rFonts w:eastAsia="仿宋"/>
          <w:bCs/>
          <w:szCs w:val="32"/>
        </w:rPr>
        <w:t>（类）行政事业单位医疗11（款）行政单位医疗01（项）:</w:t>
      </w:r>
      <w:r>
        <w:rPr>
          <w:rStyle w:val="14"/>
          <w:rFonts w:eastAsia="仿宋"/>
          <w:b w:val="0"/>
          <w:bCs/>
          <w:szCs w:val="32"/>
        </w:rPr>
        <w:t>支出决算为5.66万元，完成预算100%，决算数等于预算数。</w:t>
      </w:r>
    </w:p>
    <w:p>
      <w:pPr>
        <w:spacing w:line="600" w:lineRule="exact"/>
        <w:ind w:firstLine="640" w:firstLineChars="200"/>
        <w:rPr>
          <w:rFonts w:eastAsia="仿宋"/>
          <w:b/>
          <w:szCs w:val="32"/>
        </w:rPr>
      </w:pPr>
      <w:r>
        <w:rPr>
          <w:rFonts w:eastAsia="仿宋"/>
          <w:b/>
          <w:bCs/>
          <w:szCs w:val="32"/>
        </w:rPr>
        <w:t>9. 住房保障支出221</w:t>
      </w:r>
      <w:r>
        <w:rPr>
          <w:rStyle w:val="14"/>
          <w:rFonts w:eastAsia="仿宋"/>
          <w:bCs/>
          <w:szCs w:val="32"/>
        </w:rPr>
        <w:t>（类）住房改革支出02（款）01住房公积金（项）:</w:t>
      </w:r>
      <w:r>
        <w:rPr>
          <w:rStyle w:val="14"/>
          <w:rFonts w:eastAsia="仿宋"/>
          <w:b w:val="0"/>
          <w:bCs/>
          <w:szCs w:val="32"/>
        </w:rPr>
        <w:t>支出决算为12.22万元，完成预算100%，决算数等于预算数。</w:t>
      </w:r>
    </w:p>
    <w:p>
      <w:pPr>
        <w:pStyle w:val="4"/>
        <w:spacing w:before="0" w:after="0" w:line="240" w:lineRule="auto"/>
        <w:ind w:firstLine="640" w:firstLineChars="200"/>
        <w:rPr>
          <w:rStyle w:val="25"/>
          <w:rFonts w:ascii="Times New Roman" w:hAnsi="Times New Roman" w:eastAsia="黑体" w:cs="Times New Roman"/>
          <w:b w:val="0"/>
          <w:bCs w:val="0"/>
        </w:rPr>
      </w:pPr>
      <w:bookmarkStart w:id="51" w:name="_Toc15396608"/>
      <w:bookmarkStart w:id="52" w:name="_Toc15377214"/>
      <w:bookmarkStart w:id="53" w:name="_Toc113273302"/>
      <w:r>
        <w:rPr>
          <w:rStyle w:val="25"/>
          <w:rFonts w:ascii="Times New Roman" w:hAnsi="Times New Roman" w:eastAsia="黑体" w:cs="Times New Roman"/>
          <w:b w:val="0"/>
          <w:bCs w:val="0"/>
        </w:rPr>
        <w:t>六</w:t>
      </w:r>
      <w:r>
        <w:rPr>
          <w:rStyle w:val="25"/>
          <w:rFonts w:ascii="Times New Roman" w:hAnsi="Times New Roman" w:eastAsia="黑体" w:cs="Times New Roman"/>
          <w:b/>
          <w:bCs w:val="0"/>
        </w:rPr>
        <w:t>、一</w:t>
      </w:r>
      <w:r>
        <w:rPr>
          <w:rStyle w:val="25"/>
          <w:rFonts w:ascii="Times New Roman" w:hAnsi="Times New Roman" w:eastAsia="黑体" w:cs="Times New Roman"/>
          <w:b w:val="0"/>
          <w:bCs w:val="0"/>
        </w:rPr>
        <w:t>般公共预算财政拨款基本支出决算情况说明</w:t>
      </w:r>
      <w:bookmarkEnd w:id="51"/>
      <w:bookmarkEnd w:id="52"/>
      <w:bookmarkEnd w:id="53"/>
      <w:r>
        <w:rPr>
          <w:rStyle w:val="25"/>
          <w:rFonts w:ascii="Times New Roman" w:hAnsi="Times New Roman" w:eastAsia="黑体" w:cs="Times New Roman"/>
          <w:b w:val="0"/>
          <w:bCs w:val="0"/>
        </w:rPr>
        <w:tab/>
      </w:r>
    </w:p>
    <w:p>
      <w:pPr>
        <w:spacing w:line="600" w:lineRule="exact"/>
        <w:ind w:firstLine="645"/>
        <w:rPr>
          <w:rFonts w:eastAsia="仿宋"/>
          <w:szCs w:val="32"/>
        </w:rPr>
      </w:pPr>
      <w:r>
        <w:rPr>
          <w:rFonts w:eastAsia="仿宋"/>
          <w:szCs w:val="32"/>
        </w:rPr>
        <w:t>2021年一般公共预算财政拨款基本支出163.37万元，其中：人员经费140.76万元，主要包括：基本工资、津贴补贴、奖金、机关事业单位基本养老保险缴费、职业年金缴费、其他社会保障缴费、其他工资福利支出、离休费、退休费、医疗费补助、住房公积金、其他对个人和家庭的补助支出等。公用经费22.61万元，主要包括：办公费、印刷费、手续费、水费、电费、邮电费、物业管理费、差旅费、维修（护）费、劳务费、工会经费、其他交通费、其他商品和服务支出、等。</w:t>
      </w:r>
    </w:p>
    <w:p>
      <w:pPr>
        <w:pStyle w:val="4"/>
        <w:spacing w:before="0" w:after="0" w:line="240" w:lineRule="auto"/>
        <w:ind w:firstLine="640" w:firstLineChars="200"/>
        <w:rPr>
          <w:rStyle w:val="25"/>
          <w:rFonts w:ascii="Times New Roman" w:hAnsi="Times New Roman" w:eastAsia="黑体" w:cs="Times New Roman"/>
          <w:b w:val="0"/>
          <w:bCs w:val="0"/>
        </w:rPr>
      </w:pPr>
      <w:bookmarkStart w:id="54" w:name="_Toc15377215"/>
      <w:bookmarkStart w:id="55" w:name="_Toc113273303"/>
      <w:bookmarkStart w:id="56" w:name="_Toc15396609"/>
      <w:r>
        <w:rPr>
          <w:rStyle w:val="25"/>
          <w:rFonts w:ascii="Times New Roman" w:hAnsi="Times New Roman" w:eastAsia="黑体" w:cs="Times New Roman"/>
          <w:b w:val="0"/>
          <w:bCs w:val="0"/>
        </w:rPr>
        <w:t>七、“三公”经费财政拨款支出决算情况说明</w:t>
      </w:r>
      <w:bookmarkEnd w:id="54"/>
      <w:bookmarkEnd w:id="55"/>
      <w:bookmarkEnd w:id="56"/>
    </w:p>
    <w:p>
      <w:pPr>
        <w:spacing w:line="600" w:lineRule="exact"/>
        <w:ind w:firstLine="640" w:firstLineChars="200"/>
        <w:rPr>
          <w:rFonts w:eastAsia="楷体_GB2312"/>
          <w:szCs w:val="32"/>
        </w:rPr>
      </w:pPr>
      <w:bookmarkStart w:id="57" w:name="_Toc15377216"/>
      <w:bookmarkStart w:id="58" w:name="_Toc15377218"/>
      <w:bookmarkStart w:id="59" w:name="_Toc113273304"/>
      <w:bookmarkStart w:id="60" w:name="_Toc15396610"/>
      <w:r>
        <w:rPr>
          <w:rFonts w:eastAsia="楷体_GB2312"/>
          <w:szCs w:val="32"/>
        </w:rPr>
        <w:t>（一）“三公”经费财政拨款支出决算总体情况说明</w:t>
      </w:r>
      <w:bookmarkEnd w:id="5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相等，均未发生。</w:t>
      </w:r>
    </w:p>
    <w:p>
      <w:pPr>
        <w:spacing w:line="600" w:lineRule="exact"/>
        <w:ind w:firstLine="640"/>
        <w:outlineLvl w:val="2"/>
        <w:rPr>
          <w:rFonts w:ascii="仿宋" w:hAnsi="仿宋" w:eastAsia="仿宋"/>
          <w:b/>
          <w:color w:val="auto"/>
          <w:sz w:val="32"/>
          <w:szCs w:val="32"/>
          <w:highlight w:val="none"/>
        </w:rPr>
      </w:pPr>
      <w:bookmarkStart w:id="61" w:name="_Toc15377217"/>
      <w:bookmarkStart w:id="62" w:name="_Toc2118"/>
      <w:bookmarkStart w:id="63" w:name="_Toc27821"/>
      <w:bookmarkStart w:id="64" w:name="_Toc28980"/>
      <w:r>
        <w:rPr>
          <w:rFonts w:hint="eastAsia" w:ascii="仿宋" w:hAnsi="仿宋" w:eastAsia="仿宋"/>
          <w:b/>
          <w:color w:val="auto"/>
          <w:sz w:val="32"/>
          <w:szCs w:val="32"/>
          <w:highlight w:val="none"/>
        </w:rPr>
        <w:t>（二）“三公”经费财政拨款支出决算具体情况说明</w:t>
      </w:r>
      <w:bookmarkEnd w:id="61"/>
      <w:bookmarkEnd w:id="62"/>
      <w:bookmarkEnd w:id="63"/>
      <w:bookmarkEnd w:id="6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numPr>
          <w:ilvl w:val="0"/>
          <w:numId w:val="0"/>
        </w:num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相等，均未发生。</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无公车购买及维护</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为发生公务接待费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4"/>
        <w:spacing w:before="0" w:after="0" w:line="240" w:lineRule="auto"/>
        <w:ind w:firstLine="640" w:firstLineChars="200"/>
        <w:rPr>
          <w:rStyle w:val="25"/>
          <w:rFonts w:ascii="Times New Roman" w:hAnsi="Times New Roman" w:eastAsia="黑体" w:cs="Times New Roman"/>
          <w:b w:val="0"/>
          <w:bCs w:val="0"/>
        </w:rPr>
      </w:pPr>
      <w:r>
        <w:rPr>
          <w:rStyle w:val="25"/>
          <w:rFonts w:ascii="Times New Roman" w:hAnsi="Times New Roman" w:eastAsia="黑体" w:cs="Times New Roman"/>
          <w:b w:val="0"/>
          <w:bCs w:val="0"/>
        </w:rPr>
        <w:t>八、政府性基金预算支出决算情况说明</w:t>
      </w:r>
      <w:bookmarkEnd w:id="58"/>
      <w:bookmarkEnd w:id="59"/>
      <w:bookmarkEnd w:id="60"/>
    </w:p>
    <w:p>
      <w:pPr>
        <w:spacing w:line="600" w:lineRule="exact"/>
        <w:ind w:firstLine="640"/>
        <w:rPr>
          <w:rFonts w:eastAsia="仿宋_GB2312"/>
          <w:szCs w:val="32"/>
        </w:rPr>
      </w:pPr>
      <w:r>
        <w:rPr>
          <w:rFonts w:eastAsia="仿宋_GB2312"/>
          <w:szCs w:val="32"/>
        </w:rPr>
        <w:t>2021年政府性基金预算财政拨款支出0万元。</w:t>
      </w:r>
    </w:p>
    <w:p>
      <w:pPr>
        <w:pStyle w:val="4"/>
        <w:spacing w:before="0" w:after="0" w:line="240" w:lineRule="auto"/>
        <w:ind w:firstLine="640" w:firstLineChars="200"/>
        <w:rPr>
          <w:rStyle w:val="25"/>
          <w:rFonts w:ascii="Times New Roman" w:hAnsi="Times New Roman" w:eastAsia="黑体" w:cs="Times New Roman"/>
          <w:b w:val="0"/>
          <w:bCs w:val="0"/>
        </w:rPr>
      </w:pPr>
      <w:bookmarkStart w:id="65" w:name="_Toc15396611"/>
      <w:bookmarkStart w:id="66" w:name="_Toc113273305"/>
      <w:bookmarkStart w:id="67" w:name="_Toc15377219"/>
      <w:r>
        <w:rPr>
          <w:rStyle w:val="25"/>
          <w:rFonts w:ascii="Times New Roman" w:hAnsi="Times New Roman" w:eastAsia="黑体" w:cs="Times New Roman"/>
          <w:b w:val="0"/>
          <w:bCs w:val="0"/>
        </w:rPr>
        <w:t>九、国有资本经营预算支出决算情况说明</w:t>
      </w:r>
      <w:bookmarkEnd w:id="65"/>
      <w:bookmarkEnd w:id="66"/>
      <w:bookmarkEnd w:id="67"/>
    </w:p>
    <w:p>
      <w:pPr>
        <w:spacing w:line="600" w:lineRule="exact"/>
        <w:ind w:firstLine="640"/>
        <w:rPr>
          <w:rFonts w:eastAsia="仿宋_GB2312"/>
          <w:szCs w:val="32"/>
        </w:rPr>
      </w:pPr>
      <w:r>
        <w:rPr>
          <w:rFonts w:eastAsia="仿宋_GB2312"/>
          <w:szCs w:val="32"/>
        </w:rPr>
        <w:t>2021年国有资本经营预算财政拨款支出0万元。</w:t>
      </w:r>
    </w:p>
    <w:p>
      <w:pPr>
        <w:pStyle w:val="4"/>
        <w:spacing w:before="0" w:after="0" w:line="240" w:lineRule="auto"/>
        <w:ind w:firstLine="640" w:firstLineChars="200"/>
        <w:rPr>
          <w:rStyle w:val="25"/>
          <w:rFonts w:ascii="Times New Roman" w:hAnsi="Times New Roman" w:eastAsia="黑体" w:cs="Times New Roman"/>
          <w:b w:val="0"/>
          <w:bCs w:val="0"/>
        </w:rPr>
      </w:pPr>
      <w:bookmarkStart w:id="68" w:name="_Toc15377221"/>
      <w:bookmarkStart w:id="69" w:name="_Toc15396612"/>
      <w:bookmarkStart w:id="70" w:name="_Toc113273306"/>
      <w:r>
        <w:rPr>
          <w:rStyle w:val="25"/>
          <w:rFonts w:ascii="Times New Roman" w:hAnsi="Times New Roman" w:eastAsia="黑体" w:cs="Times New Roman"/>
          <w:b w:val="0"/>
          <w:bCs w:val="0"/>
        </w:rPr>
        <w:t>十、其他重要事项的情况说明</w:t>
      </w:r>
      <w:bookmarkEnd w:id="68"/>
      <w:bookmarkEnd w:id="69"/>
      <w:bookmarkEnd w:id="70"/>
    </w:p>
    <w:p>
      <w:pPr>
        <w:spacing w:line="600" w:lineRule="exact"/>
        <w:ind w:firstLine="640" w:firstLineChars="200"/>
        <w:rPr>
          <w:rFonts w:eastAsia="楷体_GB2312"/>
          <w:szCs w:val="32"/>
        </w:rPr>
      </w:pPr>
      <w:bookmarkStart w:id="71" w:name="_Toc15377222"/>
      <w:r>
        <w:rPr>
          <w:rFonts w:eastAsia="楷体_GB2312"/>
          <w:szCs w:val="32"/>
        </w:rPr>
        <w:t>（一）机关运行经费支出情况</w:t>
      </w:r>
      <w:bookmarkEnd w:id="71"/>
    </w:p>
    <w:p>
      <w:pPr>
        <w:spacing w:line="600" w:lineRule="exact"/>
        <w:ind w:firstLine="640" w:firstLineChars="200"/>
        <w:rPr>
          <w:rFonts w:eastAsia="仿宋_GB2312"/>
          <w:szCs w:val="32"/>
        </w:rPr>
      </w:pPr>
      <w:r>
        <w:rPr>
          <w:rFonts w:eastAsia="仿宋_GB2312"/>
          <w:szCs w:val="32"/>
        </w:rPr>
        <w:t>2021年，机关运行经费支出196.77万元，比2020年增加7.74万元，增长4.09%。主要原因是人员经费支出增加。</w:t>
      </w:r>
    </w:p>
    <w:p>
      <w:pPr>
        <w:spacing w:line="600" w:lineRule="exact"/>
        <w:ind w:firstLine="640" w:firstLineChars="200"/>
        <w:rPr>
          <w:rFonts w:eastAsia="楷体_GB2312"/>
          <w:szCs w:val="32"/>
        </w:rPr>
      </w:pPr>
      <w:bookmarkStart w:id="72" w:name="_Toc15377223"/>
      <w:r>
        <w:rPr>
          <w:rFonts w:eastAsia="楷体_GB2312"/>
          <w:szCs w:val="32"/>
        </w:rPr>
        <w:t>（二）政府采购支出情况</w:t>
      </w:r>
      <w:bookmarkEnd w:id="72"/>
    </w:p>
    <w:p>
      <w:pPr>
        <w:spacing w:line="600" w:lineRule="exact"/>
        <w:ind w:firstLine="640" w:firstLineChars="200"/>
        <w:rPr>
          <w:rFonts w:eastAsia="仿宋_GB2312"/>
          <w:szCs w:val="32"/>
        </w:rPr>
      </w:pPr>
      <w:r>
        <w:rPr>
          <w:rFonts w:eastAsia="仿宋_GB2312"/>
          <w:szCs w:val="32"/>
        </w:rPr>
        <w:t>2021年，政府采购支出总额3.36万元，其中：政府采购货物支出3.36万元、主要用于办公工作的正常运行。</w:t>
      </w:r>
    </w:p>
    <w:p>
      <w:pPr>
        <w:spacing w:line="600" w:lineRule="exact"/>
        <w:ind w:firstLine="640" w:firstLineChars="200"/>
        <w:rPr>
          <w:rFonts w:eastAsia="楷体_GB2312"/>
          <w:szCs w:val="32"/>
        </w:rPr>
      </w:pPr>
      <w:bookmarkStart w:id="73" w:name="_Toc15377224"/>
      <w:r>
        <w:rPr>
          <w:rFonts w:eastAsia="楷体_GB2312"/>
          <w:szCs w:val="32"/>
        </w:rPr>
        <w:t>（三）国有资产占有使用情况</w:t>
      </w:r>
      <w:bookmarkEnd w:id="73"/>
    </w:p>
    <w:p>
      <w:pPr>
        <w:pStyle w:val="2"/>
        <w:spacing w:before="187"/>
        <w:rPr>
          <w:rFonts w:ascii="Times New Roman"/>
        </w:rPr>
      </w:pPr>
      <w:r>
        <w:rPr>
          <w:rFonts w:ascii="Times New Roman"/>
        </w:rPr>
        <w:t xml:space="preserve">       无。</w:t>
      </w:r>
    </w:p>
    <w:p>
      <w:pPr>
        <w:spacing w:line="600" w:lineRule="exact"/>
        <w:ind w:firstLine="640" w:firstLineChars="200"/>
        <w:rPr>
          <w:rFonts w:eastAsia="楷体_GB2312"/>
          <w:szCs w:val="32"/>
        </w:rPr>
      </w:pPr>
      <w:r>
        <w:rPr>
          <w:rFonts w:eastAsia="楷体_GB2312"/>
          <w:szCs w:val="32"/>
        </w:rPr>
        <w:t>（四）预算绩效管理情况</w:t>
      </w:r>
    </w:p>
    <w:p>
      <w:pPr>
        <w:spacing w:line="600" w:lineRule="exact"/>
        <w:ind w:firstLine="640" w:firstLineChars="200"/>
        <w:rPr>
          <w:rFonts w:eastAsia="仿宋_GB2312"/>
          <w:szCs w:val="32"/>
        </w:rPr>
      </w:pPr>
      <w:r>
        <w:rPr>
          <w:rFonts w:eastAsia="仿宋_GB2312"/>
          <w:szCs w:val="32"/>
        </w:rPr>
        <w:t>根据预算绩效管理要求，本单位在2021年度预算编制阶段，没有符合开展事前绩效评估的项目，故没有开展预算事前绩效评估，对“票据工本费”1个项目编制了绩效目标，预算执行过程中，选取1个项目开展绩效监控，年终执行完毕后，对1个项目开展了绩效自评。同时，本单位对2021年整体支出开展了绩效自评，本单位本年度无100万元以上（含）特定目标类部门预算项目，遂宁市票据监管中心2021年整体支出、项目支出绩效报告见附件（第四部分）。</w:t>
      </w:r>
    </w:p>
    <w:p>
      <w:pPr>
        <w:pStyle w:val="2"/>
        <w:spacing w:before="187"/>
        <w:rPr>
          <w:rFonts w:ascii="Times New Roman"/>
          <w:szCs w:val="30"/>
          <w:highlight w:val="yellow"/>
        </w:rPr>
      </w:pPr>
    </w:p>
    <w:p>
      <w:pPr>
        <w:widowControl/>
        <w:jc w:val="left"/>
        <w:rPr>
          <w:rFonts w:eastAsia="仿宋_GB2312"/>
          <w:b/>
          <w:szCs w:val="32"/>
        </w:rPr>
      </w:pPr>
      <w:r>
        <w:rPr>
          <w:rFonts w:eastAsia="仿宋_GB2312"/>
          <w:b/>
          <w:szCs w:val="32"/>
        </w:rPr>
        <w:br w:type="page"/>
      </w:r>
    </w:p>
    <w:p>
      <w:pPr>
        <w:pStyle w:val="3"/>
        <w:spacing w:before="0" w:after="0" w:line="700" w:lineRule="exact"/>
        <w:jc w:val="center"/>
        <w:rPr>
          <w:rFonts w:eastAsia="方正小标宋_GBK"/>
          <w:bCs w:val="0"/>
        </w:rPr>
      </w:pPr>
      <w:bookmarkStart w:id="74" w:name="_Toc15396613"/>
      <w:bookmarkStart w:id="75" w:name="_Toc15377225"/>
      <w:bookmarkStart w:id="76" w:name="_Toc113273307"/>
      <w:r>
        <w:rPr>
          <w:rFonts w:eastAsia="方正小标宋_GBK"/>
          <w:b w:val="0"/>
          <w:bCs/>
        </w:rPr>
        <w:t>第三部分 名词解释</w:t>
      </w:r>
      <w:bookmarkEnd w:id="74"/>
      <w:bookmarkEnd w:id="75"/>
      <w:bookmarkEnd w:id="76"/>
    </w:p>
    <w:p>
      <w:pPr>
        <w:spacing w:line="600" w:lineRule="exact"/>
        <w:jc w:val="left"/>
        <w:rPr>
          <w:b/>
          <w:sz w:val="28"/>
          <w:szCs w:val="28"/>
        </w:rPr>
      </w:pPr>
    </w:p>
    <w:p>
      <w:pPr>
        <w:spacing w:line="600" w:lineRule="exact"/>
        <w:ind w:firstLine="640" w:firstLineChars="200"/>
        <w:rPr>
          <w:rFonts w:eastAsia="仿宋_GB2312"/>
          <w:spacing w:val="-6"/>
          <w:szCs w:val="32"/>
        </w:rPr>
      </w:pPr>
      <w:bookmarkStart w:id="77" w:name="_Toc15396614"/>
      <w:bookmarkStart w:id="78" w:name="_Toc15377226"/>
      <w:r>
        <w:rPr>
          <w:rFonts w:eastAsia="仿宋_GB2312"/>
          <w:szCs w:val="32"/>
        </w:rPr>
        <w:t xml:space="preserve">1. </w:t>
      </w:r>
      <w:r>
        <w:rPr>
          <w:rFonts w:eastAsia="仿宋_GB2312"/>
          <w:spacing w:val="-6"/>
          <w:szCs w:val="32"/>
        </w:rPr>
        <w:t>财政拨款收入：指单位从同级财政部门取得的财政预算资金。</w:t>
      </w:r>
    </w:p>
    <w:p>
      <w:pPr>
        <w:spacing w:line="600" w:lineRule="exact"/>
        <w:ind w:firstLine="640" w:firstLineChars="200"/>
        <w:rPr>
          <w:rFonts w:eastAsia="仿宋_GB2312"/>
          <w:szCs w:val="32"/>
        </w:rPr>
      </w:pPr>
      <w:r>
        <w:rPr>
          <w:rFonts w:eastAsia="仿宋_GB2312"/>
          <w:szCs w:val="32"/>
        </w:rPr>
        <w:t xml:space="preserve">2. 年初结转和结余：指以前年度尚未完成、结转到本年按有关规定继续使用的资金。 </w:t>
      </w:r>
    </w:p>
    <w:p>
      <w:pPr>
        <w:spacing w:line="600" w:lineRule="exact"/>
        <w:ind w:firstLine="640" w:firstLineChars="200"/>
        <w:rPr>
          <w:rFonts w:eastAsia="仿宋_GB2312"/>
          <w:szCs w:val="32"/>
        </w:rPr>
      </w:pPr>
      <w:r>
        <w:rPr>
          <w:rFonts w:eastAsia="仿宋_GB2312"/>
          <w:szCs w:val="32"/>
        </w:rPr>
        <w:t>3. 结余分配：指事业单位按照会计制度规定缴纳的所得税、提取的专用结余以及转入非财政拨款结余的金额等。</w:t>
      </w:r>
    </w:p>
    <w:p>
      <w:pPr>
        <w:spacing w:line="600" w:lineRule="exact"/>
        <w:ind w:firstLine="640" w:firstLineChars="200"/>
        <w:rPr>
          <w:rFonts w:eastAsia="仿宋_GB2312"/>
          <w:szCs w:val="32"/>
        </w:rPr>
      </w:pPr>
      <w:r>
        <w:rPr>
          <w:rFonts w:eastAsia="仿宋_GB2312"/>
          <w:szCs w:val="32"/>
        </w:rPr>
        <w:t>4. 年末结转和结余：指单位按有关规定结转到下年或以后年度继续使用的资金。</w:t>
      </w:r>
    </w:p>
    <w:p>
      <w:pPr>
        <w:spacing w:line="600" w:lineRule="exact"/>
        <w:ind w:firstLine="640" w:firstLineChars="200"/>
        <w:rPr>
          <w:rFonts w:eastAsia="仿宋_GB2312"/>
          <w:szCs w:val="32"/>
        </w:rPr>
      </w:pPr>
      <w:r>
        <w:rPr>
          <w:rFonts w:eastAsia="仿宋_GB2312"/>
          <w:szCs w:val="32"/>
        </w:rPr>
        <w:t>5. 一般公共服务（类）财政事务（款）行政运行（项）:指行政单位（包括实行公务员管理的事业单位）的基本支出。</w:t>
      </w:r>
    </w:p>
    <w:p>
      <w:pPr>
        <w:spacing w:line="600" w:lineRule="exact"/>
        <w:ind w:firstLine="640" w:firstLineChars="200"/>
        <w:rPr>
          <w:rFonts w:eastAsia="仿宋_GB2312"/>
          <w:szCs w:val="32"/>
        </w:rPr>
      </w:pPr>
      <w:r>
        <w:rPr>
          <w:rFonts w:eastAsia="仿宋_GB2312"/>
          <w:szCs w:val="32"/>
        </w:rPr>
        <w:t>6. 一般公共服务（类）财政事务（款）一般行政管理事务（项）: 指行政单位（包括实行公务员管理的事业单位）未单独设置项级科目的其他项目支出。</w:t>
      </w:r>
    </w:p>
    <w:p>
      <w:pPr>
        <w:spacing w:line="600" w:lineRule="exact"/>
        <w:ind w:firstLine="640" w:firstLineChars="200"/>
        <w:rPr>
          <w:rFonts w:eastAsia="仿宋_GB2312"/>
          <w:szCs w:val="32"/>
        </w:rPr>
      </w:pPr>
      <w:r>
        <w:rPr>
          <w:rFonts w:eastAsia="仿宋_GB2312"/>
          <w:szCs w:val="32"/>
        </w:rPr>
        <w:t>7. 社会保障和就业支出（类）行政事业单位离退休（款）未归口管理的行政单位离退休（项）: 指实行未归口管理的行政单位开支的离退休支出。</w:t>
      </w:r>
    </w:p>
    <w:p>
      <w:pPr>
        <w:spacing w:line="600" w:lineRule="exact"/>
        <w:ind w:firstLine="640" w:firstLineChars="200"/>
        <w:rPr>
          <w:rFonts w:eastAsia="仿宋_GB2312"/>
          <w:szCs w:val="32"/>
        </w:rPr>
      </w:pPr>
      <w:r>
        <w:rPr>
          <w:rFonts w:eastAsia="仿宋_GB2312"/>
          <w:szCs w:val="32"/>
        </w:rPr>
        <w:t>8. 社会保障和就业支出（类）行政事业单位离退休（款）机关事业单位基本养老保险缴费支出（项）: 指机关事业单位实施养老保险制度由单位缴纳的基本养老保险费支出。</w:t>
      </w:r>
    </w:p>
    <w:p>
      <w:pPr>
        <w:spacing w:line="600" w:lineRule="exact"/>
        <w:ind w:firstLine="640" w:firstLineChars="200"/>
        <w:rPr>
          <w:rFonts w:eastAsia="仿宋_GB2312"/>
          <w:szCs w:val="32"/>
        </w:rPr>
      </w:pPr>
      <w:r>
        <w:rPr>
          <w:rFonts w:eastAsia="仿宋_GB2312"/>
          <w:szCs w:val="32"/>
        </w:rPr>
        <w:t>9. 社会保障和就业支出（类）行政事业单位离退休（款）其他行政事业单位离退休支出（项）: 指其他用于行政事业单位离退休方面的支出。</w:t>
      </w:r>
    </w:p>
    <w:p>
      <w:pPr>
        <w:spacing w:line="600" w:lineRule="exact"/>
        <w:ind w:firstLine="640" w:firstLineChars="200"/>
        <w:rPr>
          <w:rFonts w:eastAsia="仿宋_GB2312"/>
          <w:szCs w:val="32"/>
        </w:rPr>
      </w:pPr>
      <w:r>
        <w:rPr>
          <w:rFonts w:eastAsia="仿宋_GB2312"/>
          <w:szCs w:val="32"/>
        </w:rPr>
        <w:t>10. 医疗卫生与计划生育支出（类）行政事业单位医疗（款）行政单位医疗（项）:指行政单位基本医疗保险缴费支出。</w:t>
      </w:r>
    </w:p>
    <w:p>
      <w:pPr>
        <w:spacing w:line="600" w:lineRule="exact"/>
        <w:ind w:firstLine="640" w:firstLineChars="200"/>
        <w:rPr>
          <w:rFonts w:eastAsia="仿宋_GB2312"/>
          <w:szCs w:val="32"/>
        </w:rPr>
      </w:pPr>
      <w:r>
        <w:rPr>
          <w:rFonts w:eastAsia="仿宋_GB2312"/>
          <w:szCs w:val="32"/>
        </w:rPr>
        <w:t>11. 住房保障支出（类）住房改革支出（款）住房公积金（项）:指单位按人力资源和社会保障部、财政部规定比例为职工缴纳的住房公积金。</w:t>
      </w:r>
    </w:p>
    <w:p>
      <w:pPr>
        <w:spacing w:line="600" w:lineRule="exact"/>
        <w:ind w:firstLine="640" w:firstLineChars="200"/>
        <w:rPr>
          <w:rFonts w:eastAsia="仿宋_GB2312"/>
          <w:szCs w:val="32"/>
        </w:rPr>
      </w:pPr>
      <w:r>
        <w:rPr>
          <w:rFonts w:eastAsia="仿宋_GB2312"/>
          <w:szCs w:val="32"/>
        </w:rPr>
        <w:t>12. 基本支出：指为保障机构正常运转、完成日常工作任务而发生的人员支出和公用支出。</w:t>
      </w:r>
    </w:p>
    <w:p>
      <w:pPr>
        <w:spacing w:line="600" w:lineRule="exact"/>
        <w:ind w:firstLine="640" w:firstLineChars="200"/>
        <w:rPr>
          <w:rFonts w:eastAsia="仿宋_GB2312"/>
          <w:szCs w:val="32"/>
        </w:rPr>
      </w:pPr>
      <w:r>
        <w:rPr>
          <w:rFonts w:eastAsia="仿宋_GB2312"/>
          <w:szCs w:val="32"/>
        </w:rPr>
        <w:t xml:space="preserve">13. 项目支出：指在基本支出之外为完成特定行政任务和事业发展目标所发生的支出。 </w:t>
      </w:r>
    </w:p>
    <w:p>
      <w:pPr>
        <w:spacing w:line="600" w:lineRule="exact"/>
        <w:ind w:firstLine="640" w:firstLineChars="200"/>
        <w:rPr>
          <w:rFonts w:eastAsia="仿宋_GB2312"/>
          <w:szCs w:val="32"/>
        </w:rPr>
      </w:pPr>
      <w:r>
        <w:rPr>
          <w:rFonts w:eastAsia="仿宋_GB2312"/>
          <w:szCs w:val="32"/>
        </w:rPr>
        <w:t>14. “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eastAsia="仿宋_GB2312"/>
          <w:szCs w:val="32"/>
        </w:rPr>
      </w:pPr>
      <w:r>
        <w:rPr>
          <w:rFonts w:eastAsia="仿宋_GB2312"/>
          <w:szCs w:val="32"/>
        </w:rPr>
        <w:t>15.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topLinePunct/>
        <w:spacing w:line="620" w:lineRule="exact"/>
        <w:ind w:firstLine="640" w:firstLineChars="200"/>
      </w:pPr>
    </w:p>
    <w:p>
      <w:pPr>
        <w:pStyle w:val="3"/>
        <w:spacing w:before="0" w:after="0" w:line="700" w:lineRule="exact"/>
        <w:jc w:val="center"/>
        <w:rPr>
          <w:rFonts w:eastAsia="方正小标宋_GBK"/>
          <w:b w:val="0"/>
          <w:bCs w:val="0"/>
        </w:rPr>
      </w:pPr>
      <w:bookmarkStart w:id="79" w:name="_Toc113273308"/>
      <w:r>
        <w:rPr>
          <w:rFonts w:eastAsia="方正小标宋_GBK"/>
          <w:b w:val="0"/>
          <w:bCs w:val="0"/>
        </w:rPr>
        <w:t>第四部分 附件</w:t>
      </w:r>
      <w:bookmarkEnd w:id="77"/>
      <w:bookmarkEnd w:id="79"/>
    </w:p>
    <w:p>
      <w:pPr>
        <w:jc w:val="center"/>
        <w:rPr>
          <w:rFonts w:eastAsia="方正小标宋简体"/>
          <w:sz w:val="44"/>
          <w:szCs w:val="44"/>
          <w:shd w:val="clear" w:color="auto" w:fill="FFFFFF"/>
        </w:rPr>
      </w:pPr>
      <w:bookmarkStart w:id="80" w:name="_Toc15396618"/>
    </w:p>
    <w:p>
      <w:pPr>
        <w:spacing w:line="700" w:lineRule="exact"/>
        <w:jc w:val="center"/>
        <w:rPr>
          <w:rFonts w:eastAsia="方正小标宋简体"/>
          <w:sz w:val="44"/>
          <w:szCs w:val="44"/>
          <w:shd w:val="clear" w:color="auto" w:fill="FFFFFF"/>
        </w:rPr>
      </w:pPr>
      <w:r>
        <w:rPr>
          <w:rFonts w:eastAsia="方正小标宋简体"/>
          <w:sz w:val="44"/>
          <w:szCs w:val="44"/>
          <w:shd w:val="clear" w:color="auto" w:fill="FFFFFF"/>
        </w:rPr>
        <w:t>遂宁市票据监管中心2021年整体支出</w:t>
      </w:r>
    </w:p>
    <w:p>
      <w:pPr>
        <w:spacing w:line="700" w:lineRule="exact"/>
        <w:jc w:val="center"/>
        <w:rPr>
          <w:rFonts w:eastAsia="方正小标宋简体"/>
          <w:sz w:val="44"/>
          <w:szCs w:val="44"/>
          <w:shd w:val="clear" w:color="auto" w:fill="FFFFFF"/>
        </w:rPr>
      </w:pPr>
      <w:r>
        <w:rPr>
          <w:rFonts w:eastAsia="方正小标宋简体"/>
          <w:sz w:val="44"/>
          <w:szCs w:val="44"/>
          <w:shd w:val="clear" w:color="auto" w:fill="FFFFFF"/>
        </w:rPr>
        <w:t>绩效报告</w:t>
      </w:r>
    </w:p>
    <w:p>
      <w:pPr>
        <w:adjustRightInd w:val="0"/>
        <w:snapToGrid w:val="0"/>
        <w:spacing w:line="540" w:lineRule="exact"/>
        <w:jc w:val="left"/>
        <w:rPr>
          <w:color w:val="000000"/>
          <w:kern w:val="0"/>
          <w:sz w:val="24"/>
          <w:shd w:val="clear" w:color="auto" w:fill="FFFFFF"/>
        </w:rPr>
      </w:pPr>
    </w:p>
    <w:p>
      <w:pPr>
        <w:spacing w:line="600" w:lineRule="exact"/>
        <w:ind w:firstLine="640" w:firstLineChars="200"/>
        <w:rPr>
          <w:rFonts w:eastAsia="黑体"/>
          <w:szCs w:val="32"/>
        </w:rPr>
      </w:pPr>
      <w:r>
        <w:rPr>
          <w:rFonts w:eastAsia="黑体"/>
          <w:szCs w:val="32"/>
        </w:rPr>
        <w:t>一、部门（单位）概况</w:t>
      </w:r>
    </w:p>
    <w:p>
      <w:pPr>
        <w:spacing w:line="600" w:lineRule="exact"/>
        <w:ind w:firstLine="640" w:firstLineChars="200"/>
        <w:rPr>
          <w:rFonts w:eastAsia="楷体_GB2312"/>
          <w:szCs w:val="32"/>
        </w:rPr>
      </w:pPr>
      <w:r>
        <w:rPr>
          <w:rFonts w:eastAsia="楷体_GB2312"/>
          <w:szCs w:val="32"/>
        </w:rPr>
        <w:t>（一）机构组成。</w:t>
      </w:r>
    </w:p>
    <w:p>
      <w:pPr>
        <w:spacing w:line="600" w:lineRule="exact"/>
        <w:ind w:firstLine="640" w:firstLineChars="200"/>
        <w:rPr>
          <w:rFonts w:eastAsia="仿宋_GB2312"/>
          <w:szCs w:val="32"/>
        </w:rPr>
      </w:pPr>
      <w:r>
        <w:rPr>
          <w:rFonts w:eastAsia="仿宋_GB2312"/>
          <w:szCs w:val="32"/>
        </w:rPr>
        <w:t>参照公务员管理的事业单位。</w:t>
      </w:r>
    </w:p>
    <w:p>
      <w:pPr>
        <w:spacing w:line="600" w:lineRule="exact"/>
        <w:ind w:firstLine="640" w:firstLineChars="200"/>
        <w:rPr>
          <w:rFonts w:eastAsia="楷体_GB2312"/>
          <w:szCs w:val="32"/>
        </w:rPr>
      </w:pPr>
      <w:r>
        <w:rPr>
          <w:rFonts w:eastAsia="楷体_GB2312"/>
          <w:szCs w:val="32"/>
        </w:rPr>
        <w:t>（二）机构职能。</w:t>
      </w:r>
    </w:p>
    <w:p>
      <w:pPr>
        <w:spacing w:line="600" w:lineRule="exact"/>
        <w:ind w:firstLine="640" w:firstLineChars="200"/>
        <w:rPr>
          <w:rFonts w:eastAsia="仿宋_GB2312"/>
          <w:szCs w:val="32"/>
        </w:rPr>
      </w:pPr>
      <w:r>
        <w:rPr>
          <w:rFonts w:eastAsia="仿宋_GB2312"/>
          <w:szCs w:val="32"/>
        </w:rPr>
        <w:t>负责全市行政事业单位使用的财政票据的使用、监督管理、领用和发行工作，以及对票据的审查、稽查、核销工作，并配合搞好市直行政事业单位非税收入和“收支两条线”的管理工作。</w:t>
      </w:r>
    </w:p>
    <w:p>
      <w:pPr>
        <w:spacing w:line="600" w:lineRule="exact"/>
        <w:ind w:firstLine="640" w:firstLineChars="200"/>
        <w:rPr>
          <w:rFonts w:eastAsia="仿宋_GB2312"/>
          <w:szCs w:val="32"/>
        </w:rPr>
      </w:pPr>
      <w:r>
        <w:rPr>
          <w:rFonts w:eastAsia="仿宋_GB2312"/>
          <w:szCs w:val="32"/>
        </w:rPr>
        <w:t>人员概况。</w:t>
      </w:r>
    </w:p>
    <w:p>
      <w:pPr>
        <w:spacing w:line="600" w:lineRule="exact"/>
        <w:ind w:firstLine="640" w:firstLineChars="200"/>
        <w:rPr>
          <w:rFonts w:eastAsia="仿宋_GB2312"/>
          <w:szCs w:val="32"/>
        </w:rPr>
      </w:pPr>
      <w:r>
        <w:rPr>
          <w:rFonts w:eastAsia="仿宋_GB2312"/>
          <w:szCs w:val="32"/>
        </w:rPr>
        <w:t>单位编制8人。</w:t>
      </w:r>
    </w:p>
    <w:p>
      <w:pPr>
        <w:spacing w:line="600" w:lineRule="exact"/>
        <w:ind w:firstLine="640" w:firstLineChars="200"/>
        <w:rPr>
          <w:rFonts w:eastAsia="黑体"/>
          <w:szCs w:val="32"/>
        </w:rPr>
      </w:pPr>
      <w:r>
        <w:rPr>
          <w:rFonts w:eastAsia="黑体"/>
          <w:szCs w:val="32"/>
        </w:rPr>
        <w:t>二、部门财政资金收支情况</w:t>
      </w:r>
    </w:p>
    <w:p>
      <w:pPr>
        <w:spacing w:line="600" w:lineRule="exact"/>
        <w:ind w:firstLine="640" w:firstLineChars="200"/>
        <w:rPr>
          <w:rFonts w:eastAsia="楷体_GB2312"/>
          <w:szCs w:val="32"/>
        </w:rPr>
      </w:pPr>
      <w:r>
        <w:rPr>
          <w:rFonts w:eastAsia="楷体_GB2312"/>
          <w:szCs w:val="32"/>
        </w:rPr>
        <w:t>（一）部门财政资金收入情况。</w:t>
      </w:r>
    </w:p>
    <w:p>
      <w:pPr>
        <w:spacing w:line="600" w:lineRule="exact"/>
        <w:ind w:firstLine="640" w:firstLineChars="200"/>
        <w:rPr>
          <w:rFonts w:eastAsia="仿宋_GB2312"/>
          <w:szCs w:val="32"/>
        </w:rPr>
      </w:pPr>
      <w:r>
        <w:rPr>
          <w:rFonts w:eastAsia="仿宋_GB2312"/>
          <w:szCs w:val="32"/>
        </w:rPr>
        <w:t xml:space="preserve"> 本年财政拨款收入238.29万元，其中基本支出163.37万元，占财政总收入的68.56%；项目支出74.92万元，占财政总收入的31.44%。</w:t>
      </w:r>
    </w:p>
    <w:p>
      <w:pPr>
        <w:spacing w:line="600" w:lineRule="exact"/>
        <w:ind w:firstLine="640" w:firstLineChars="200"/>
        <w:rPr>
          <w:rFonts w:eastAsia="楷体_GB2312"/>
          <w:szCs w:val="32"/>
        </w:rPr>
      </w:pPr>
      <w:r>
        <w:rPr>
          <w:rFonts w:eastAsia="楷体_GB2312"/>
          <w:szCs w:val="32"/>
        </w:rPr>
        <w:t>（二）部门财政资金支出情况。</w:t>
      </w:r>
    </w:p>
    <w:p>
      <w:pPr>
        <w:spacing w:line="600" w:lineRule="exact"/>
        <w:ind w:firstLine="640" w:firstLineChars="200"/>
        <w:rPr>
          <w:rFonts w:eastAsia="仿宋_GB2312"/>
          <w:szCs w:val="32"/>
        </w:rPr>
      </w:pPr>
      <w:r>
        <w:rPr>
          <w:rFonts w:eastAsia="仿宋_GB2312"/>
          <w:szCs w:val="32"/>
        </w:rPr>
        <w:t xml:space="preserve"> 本年财政拨款支出238.29万元，其中基本支出163.37万元，占财政总收入的68.56%；项目支出74.928万元，占财政总收入的31.44%。</w:t>
      </w:r>
    </w:p>
    <w:p>
      <w:pPr>
        <w:spacing w:line="600" w:lineRule="exact"/>
        <w:ind w:firstLine="640" w:firstLineChars="200"/>
        <w:rPr>
          <w:rFonts w:eastAsia="黑体"/>
          <w:szCs w:val="32"/>
        </w:rPr>
      </w:pPr>
      <w:r>
        <w:rPr>
          <w:rFonts w:eastAsia="黑体"/>
          <w:szCs w:val="32"/>
        </w:rPr>
        <w:t>三、部门整体预算绩效管理情况（根据适用指标体系进行调整，涉及</w:t>
      </w:r>
      <w:bookmarkStart w:id="109" w:name="_GoBack"/>
      <w:bookmarkEnd w:id="109"/>
      <w:r>
        <w:rPr>
          <w:rFonts w:eastAsia="黑体"/>
          <w:szCs w:val="32"/>
        </w:rPr>
        <w:t>有专项预算的部门，专项预算项目自评报告根据要求另行单独报送）</w:t>
      </w:r>
    </w:p>
    <w:p>
      <w:pPr>
        <w:spacing w:line="600" w:lineRule="exact"/>
        <w:ind w:firstLine="640" w:firstLineChars="200"/>
        <w:rPr>
          <w:rFonts w:eastAsia="楷体_GB2312"/>
          <w:szCs w:val="32"/>
        </w:rPr>
      </w:pPr>
      <w:r>
        <w:rPr>
          <w:rFonts w:eastAsia="楷体_GB2312"/>
          <w:szCs w:val="32"/>
        </w:rPr>
        <w:t>（一）部门预算管理。</w:t>
      </w:r>
    </w:p>
    <w:p>
      <w:pPr>
        <w:spacing w:line="600" w:lineRule="exact"/>
        <w:ind w:firstLine="640" w:firstLineChars="200"/>
        <w:rPr>
          <w:rFonts w:eastAsia="仿宋_GB2312"/>
          <w:szCs w:val="32"/>
        </w:rPr>
      </w:pPr>
      <w:r>
        <w:rPr>
          <w:rFonts w:eastAsia="仿宋_GB2312"/>
          <w:szCs w:val="32"/>
        </w:rPr>
        <w:t>2021年以来，我中心严格按照《中共中央国务院关于全面实施预算绩效管理的意见》和《财政部关于贯彻落实〈中共中央国务院关于全面实施预算绩效管理的意见〉的通知》（财预〔2018〕167号）文件要求开展预算绩效管理工作，年初编制部门预算设定预算绩效目标，细化绩效指标，年终根据绩效目标开展绩效自评。</w:t>
      </w:r>
    </w:p>
    <w:p>
      <w:pPr>
        <w:spacing w:line="600" w:lineRule="exact"/>
        <w:ind w:firstLine="640" w:firstLineChars="200"/>
        <w:rPr>
          <w:rFonts w:eastAsia="楷体_GB2312"/>
          <w:szCs w:val="32"/>
        </w:rPr>
      </w:pPr>
      <w:r>
        <w:rPr>
          <w:rFonts w:eastAsia="楷体_GB2312"/>
          <w:szCs w:val="32"/>
        </w:rPr>
        <w:t>（二）结果应用情况。</w:t>
      </w:r>
    </w:p>
    <w:p>
      <w:pPr>
        <w:spacing w:line="600" w:lineRule="exact"/>
        <w:ind w:firstLine="640" w:firstLineChars="200"/>
        <w:rPr>
          <w:rFonts w:eastAsia="仿宋_GB2312"/>
          <w:szCs w:val="32"/>
        </w:rPr>
      </w:pPr>
      <w:r>
        <w:rPr>
          <w:rFonts w:eastAsia="仿宋_GB2312"/>
          <w:szCs w:val="32"/>
        </w:rPr>
        <w:t>我中心2021年度预算编制要素完整，绩效目标量化细化，目标任务基本符合实际情况，支出控制严格，预算执行情况良好。</w:t>
      </w:r>
    </w:p>
    <w:p>
      <w:pPr>
        <w:spacing w:line="600" w:lineRule="exact"/>
        <w:ind w:firstLine="640" w:firstLineChars="200"/>
        <w:rPr>
          <w:rFonts w:eastAsia="仿宋_GB2312"/>
          <w:szCs w:val="32"/>
        </w:rPr>
      </w:pPr>
      <w:r>
        <w:rPr>
          <w:rFonts w:eastAsia="仿宋_GB2312"/>
          <w:szCs w:val="32"/>
        </w:rPr>
        <w:t>1. 设定绩效目标科学，绩效指标足够细化。</w:t>
      </w:r>
    </w:p>
    <w:p>
      <w:pPr>
        <w:spacing w:line="600" w:lineRule="exact"/>
        <w:ind w:firstLine="640" w:firstLineChars="200"/>
        <w:rPr>
          <w:rFonts w:eastAsia="仿宋_GB2312"/>
          <w:szCs w:val="32"/>
        </w:rPr>
      </w:pPr>
      <w:r>
        <w:rPr>
          <w:rFonts w:eastAsia="仿宋_GB2312"/>
          <w:szCs w:val="32"/>
        </w:rPr>
        <w:t>2. 全面预估年度目标，真正做到绩效设定与执行的有效衔接，避免绩效目标与实际不符。</w:t>
      </w:r>
    </w:p>
    <w:p>
      <w:pPr>
        <w:spacing w:line="600" w:lineRule="exact"/>
        <w:ind w:firstLine="640" w:firstLineChars="200"/>
        <w:rPr>
          <w:rFonts w:eastAsia="黑体"/>
          <w:szCs w:val="32"/>
        </w:rPr>
      </w:pPr>
      <w:r>
        <w:rPr>
          <w:rFonts w:eastAsia="黑体"/>
          <w:szCs w:val="32"/>
        </w:rPr>
        <w:t>四、评价结论及建议</w:t>
      </w:r>
    </w:p>
    <w:p>
      <w:pPr>
        <w:spacing w:line="600" w:lineRule="exact"/>
        <w:ind w:firstLine="640" w:firstLineChars="200"/>
        <w:rPr>
          <w:rFonts w:eastAsia="楷体_GB2312"/>
          <w:szCs w:val="32"/>
        </w:rPr>
      </w:pPr>
      <w:r>
        <w:rPr>
          <w:rFonts w:eastAsia="楷体_GB2312"/>
          <w:szCs w:val="32"/>
        </w:rPr>
        <w:t>（一）评价结论。</w:t>
      </w:r>
    </w:p>
    <w:p>
      <w:pPr>
        <w:spacing w:line="600" w:lineRule="exact"/>
        <w:ind w:firstLine="640" w:firstLineChars="200"/>
        <w:rPr>
          <w:rFonts w:eastAsia="仿宋_GB2312"/>
          <w:szCs w:val="32"/>
        </w:rPr>
      </w:pPr>
      <w:r>
        <w:rPr>
          <w:rFonts w:eastAsia="仿宋_GB2312"/>
          <w:szCs w:val="32"/>
        </w:rPr>
        <w:t>根据《市级部门预算绩效管理工作考核评分表》考核指标、考核内容及计分标准结合我中心具体工作开展情况自评，我中心2021年度整体绩效考核自评得分92分。</w:t>
      </w:r>
    </w:p>
    <w:tbl>
      <w:tblPr>
        <w:tblStyle w:val="12"/>
        <w:tblW w:w="9339" w:type="dxa"/>
        <w:jc w:val="center"/>
        <w:tblLayout w:type="autofit"/>
        <w:tblCellMar>
          <w:top w:w="0" w:type="dxa"/>
          <w:left w:w="108" w:type="dxa"/>
          <w:bottom w:w="0" w:type="dxa"/>
          <w:right w:w="108" w:type="dxa"/>
        </w:tblCellMar>
      </w:tblPr>
      <w:tblGrid>
        <w:gridCol w:w="2108"/>
        <w:gridCol w:w="1807"/>
        <w:gridCol w:w="1810"/>
        <w:gridCol w:w="1807"/>
        <w:gridCol w:w="1807"/>
      </w:tblGrid>
      <w:tr>
        <w:tblPrEx>
          <w:tblCellMar>
            <w:top w:w="0" w:type="dxa"/>
            <w:left w:w="108" w:type="dxa"/>
            <w:bottom w:w="0" w:type="dxa"/>
            <w:right w:w="108" w:type="dxa"/>
          </w:tblCellMar>
        </w:tblPrEx>
        <w:trPr>
          <w:trHeight w:val="540" w:hRule="atLeast"/>
          <w:jc w:val="center"/>
        </w:trPr>
        <w:tc>
          <w:tcPr>
            <w:tcW w:w="57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绩效指标</w:t>
            </w:r>
          </w:p>
        </w:tc>
        <w:tc>
          <w:tcPr>
            <w:tcW w:w="1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指标分值</w:t>
            </w:r>
          </w:p>
        </w:tc>
        <w:tc>
          <w:tcPr>
            <w:tcW w:w="180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自评得分</w:t>
            </w:r>
          </w:p>
        </w:tc>
      </w:tr>
      <w:tr>
        <w:tblPrEx>
          <w:tblCellMar>
            <w:top w:w="0" w:type="dxa"/>
            <w:left w:w="108" w:type="dxa"/>
            <w:bottom w:w="0" w:type="dxa"/>
            <w:right w:w="108" w:type="dxa"/>
          </w:tblCellMar>
        </w:tblPrEx>
        <w:trPr>
          <w:trHeight w:val="540" w:hRule="atLeast"/>
          <w:jc w:val="center"/>
        </w:trPr>
        <w:tc>
          <w:tcPr>
            <w:tcW w:w="2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一级指标</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二级指标</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三级指标</w:t>
            </w: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07" w:type="dxa"/>
            <w:vMerge w:val="continue"/>
            <w:tcBorders>
              <w:top w:val="single" w:color="000000" w:sz="4" w:space="0"/>
              <w:left w:val="nil"/>
              <w:bottom w:val="single" w:color="000000" w:sz="4" w:space="0"/>
              <w:right w:val="single" w:color="000000" w:sz="4" w:space="0"/>
            </w:tcBorders>
            <w:vAlign w:val="center"/>
          </w:tcPr>
          <w:p>
            <w:pPr>
              <w:jc w:val="center"/>
              <w:rPr>
                <w:color w:val="000000"/>
                <w:sz w:val="24"/>
              </w:rPr>
            </w:pPr>
          </w:p>
        </w:tc>
      </w:tr>
      <w:tr>
        <w:tblPrEx>
          <w:tblCellMar>
            <w:top w:w="0" w:type="dxa"/>
            <w:left w:w="108" w:type="dxa"/>
            <w:bottom w:w="0" w:type="dxa"/>
            <w:right w:w="108" w:type="dxa"/>
          </w:tblCellMar>
        </w:tblPrEx>
        <w:trPr>
          <w:trHeight w:val="540" w:hRule="atLeast"/>
          <w:jc w:val="center"/>
        </w:trPr>
        <w:tc>
          <w:tcPr>
            <w:tcW w:w="2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预算管理</w:t>
            </w:r>
          </w:p>
        </w:tc>
        <w:tc>
          <w:tcPr>
            <w:tcW w:w="1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预算编制</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目标制定</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目标实现</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编制准确</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 xml:space="preserve">                                                                             预算执行</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支出控制</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动态调整</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9</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执行进度</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4</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完成结果</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预算完成</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违规记录</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r>
      <w:tr>
        <w:tblPrEx>
          <w:tblCellMar>
            <w:top w:w="0" w:type="dxa"/>
            <w:left w:w="108" w:type="dxa"/>
            <w:bottom w:w="0" w:type="dxa"/>
            <w:right w:w="108" w:type="dxa"/>
          </w:tblCellMar>
        </w:tblPrEx>
        <w:trPr>
          <w:trHeight w:val="540" w:hRule="atLeast"/>
          <w:jc w:val="center"/>
        </w:trPr>
        <w:tc>
          <w:tcPr>
            <w:tcW w:w="2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绩效结果应用</w:t>
            </w:r>
          </w:p>
        </w:tc>
        <w:tc>
          <w:tcPr>
            <w:tcW w:w="1807"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信息公开</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自评公开</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2</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2</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整改反馈</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结果整改</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4</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4</w:t>
            </w:r>
          </w:p>
        </w:tc>
      </w:tr>
      <w:tr>
        <w:tblPrEx>
          <w:tblCellMar>
            <w:top w:w="0" w:type="dxa"/>
            <w:left w:w="108" w:type="dxa"/>
            <w:bottom w:w="0" w:type="dxa"/>
            <w:right w:w="108" w:type="dxa"/>
          </w:tblCellMar>
        </w:tblPrEx>
        <w:trPr>
          <w:trHeight w:val="540" w:hRule="atLeast"/>
          <w:jc w:val="center"/>
        </w:trPr>
        <w:tc>
          <w:tcPr>
            <w:tcW w:w="210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color w:val="000000"/>
                <w:sz w:val="24"/>
              </w:rPr>
            </w:pPr>
          </w:p>
        </w:tc>
        <w:tc>
          <w:tcPr>
            <w:tcW w:w="18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应用反馈</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4</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4</w:t>
            </w:r>
          </w:p>
        </w:tc>
      </w:tr>
      <w:tr>
        <w:tblPrEx>
          <w:tblCellMar>
            <w:top w:w="0" w:type="dxa"/>
            <w:left w:w="108" w:type="dxa"/>
            <w:bottom w:w="0" w:type="dxa"/>
            <w:right w:w="108" w:type="dxa"/>
          </w:tblCellMar>
        </w:tblPrEx>
        <w:trPr>
          <w:trHeight w:val="540" w:hRule="atLeast"/>
          <w:jc w:val="center"/>
        </w:trPr>
        <w:tc>
          <w:tcPr>
            <w:tcW w:w="2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自评质量</w:t>
            </w:r>
          </w:p>
        </w:tc>
        <w:tc>
          <w:tcPr>
            <w:tcW w:w="1807"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自评质量</w:t>
            </w:r>
          </w:p>
        </w:tc>
        <w:tc>
          <w:tcPr>
            <w:tcW w:w="1810"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自评准确</w:t>
            </w:r>
          </w:p>
        </w:tc>
        <w:tc>
          <w:tcPr>
            <w:tcW w:w="1807"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w:t>
            </w:r>
          </w:p>
        </w:tc>
        <w:tc>
          <w:tcPr>
            <w:tcW w:w="1807"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9</w:t>
            </w:r>
          </w:p>
        </w:tc>
      </w:tr>
      <w:tr>
        <w:tblPrEx>
          <w:tblCellMar>
            <w:top w:w="0" w:type="dxa"/>
            <w:left w:w="108" w:type="dxa"/>
            <w:bottom w:w="0" w:type="dxa"/>
            <w:right w:w="108" w:type="dxa"/>
          </w:tblCellMar>
        </w:tblPrEx>
        <w:trPr>
          <w:trHeight w:val="549" w:hRule="atLeast"/>
          <w:jc w:val="center"/>
        </w:trPr>
        <w:tc>
          <w:tcPr>
            <w:tcW w:w="57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合计</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100</w:t>
            </w:r>
          </w:p>
        </w:tc>
        <w:tc>
          <w:tcPr>
            <w:tcW w:w="1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lang w:bidi="ar"/>
              </w:rPr>
              <w:t>92</w:t>
            </w:r>
          </w:p>
        </w:tc>
      </w:tr>
    </w:tbl>
    <w:p>
      <w:pPr>
        <w:widowControl/>
        <w:adjustRightInd w:val="0"/>
        <w:snapToGrid w:val="0"/>
        <w:spacing w:line="580" w:lineRule="exact"/>
        <w:ind w:firstLine="640" w:firstLineChars="200"/>
        <w:contextualSpacing/>
        <w:jc w:val="left"/>
        <w:rPr>
          <w:color w:val="000000"/>
          <w:kern w:val="0"/>
          <w:szCs w:val="32"/>
          <w:shd w:val="clear" w:color="auto" w:fill="FFFFFF"/>
          <w:lang w:val="zh-CN"/>
        </w:rPr>
      </w:pPr>
    </w:p>
    <w:p>
      <w:pPr>
        <w:spacing w:line="600" w:lineRule="exact"/>
        <w:ind w:firstLine="640" w:firstLineChars="200"/>
        <w:rPr>
          <w:rFonts w:eastAsia="楷体_GB2312"/>
          <w:szCs w:val="32"/>
        </w:rPr>
      </w:pPr>
      <w:r>
        <w:rPr>
          <w:rFonts w:eastAsia="楷体_GB2312"/>
          <w:szCs w:val="32"/>
        </w:rPr>
        <w:t>（二）存在问题。</w:t>
      </w:r>
    </w:p>
    <w:p>
      <w:pPr>
        <w:spacing w:line="600" w:lineRule="exact"/>
        <w:ind w:firstLine="640" w:firstLineChars="200"/>
        <w:rPr>
          <w:rFonts w:eastAsia="仿宋_GB2312"/>
          <w:szCs w:val="32"/>
        </w:rPr>
      </w:pPr>
      <w:r>
        <w:rPr>
          <w:rFonts w:eastAsia="仿宋_GB2312"/>
          <w:szCs w:val="32"/>
        </w:rPr>
        <w:t>1. 中心人员较少，绩效管理组织保障不够，导致部分工作缺位，人员身兼数职。</w:t>
      </w:r>
    </w:p>
    <w:p>
      <w:pPr>
        <w:spacing w:line="600" w:lineRule="exact"/>
        <w:ind w:firstLine="640" w:firstLineChars="200"/>
        <w:rPr>
          <w:rFonts w:eastAsia="仿宋_GB2312"/>
          <w:szCs w:val="32"/>
        </w:rPr>
      </w:pPr>
      <w:r>
        <w:rPr>
          <w:rFonts w:eastAsia="仿宋_GB2312"/>
          <w:szCs w:val="32"/>
        </w:rPr>
        <w:t>2. 部门预算绩效管理工作情况未按管理要求进行相关宣传。</w:t>
      </w:r>
    </w:p>
    <w:p>
      <w:pPr>
        <w:spacing w:line="600" w:lineRule="exact"/>
        <w:ind w:firstLine="640" w:firstLineChars="200"/>
        <w:rPr>
          <w:rFonts w:eastAsia="仿宋_GB2312"/>
          <w:szCs w:val="32"/>
        </w:rPr>
      </w:pPr>
      <w:r>
        <w:rPr>
          <w:rFonts w:eastAsia="仿宋_GB2312"/>
          <w:szCs w:val="32"/>
        </w:rPr>
        <w:t>3. 绩效管理未能动态监控，缺乏绩效跟踪。</w:t>
      </w:r>
    </w:p>
    <w:p>
      <w:pPr>
        <w:spacing w:line="600" w:lineRule="exact"/>
        <w:ind w:firstLine="640" w:firstLineChars="200"/>
        <w:rPr>
          <w:rFonts w:eastAsia="楷体_GB2312"/>
          <w:szCs w:val="32"/>
        </w:rPr>
      </w:pPr>
      <w:r>
        <w:rPr>
          <w:rFonts w:eastAsia="楷体_GB2312"/>
          <w:szCs w:val="32"/>
        </w:rPr>
        <w:t>（三）改进建议。</w:t>
      </w:r>
    </w:p>
    <w:p>
      <w:pPr>
        <w:spacing w:line="600" w:lineRule="exact"/>
        <w:ind w:firstLine="640" w:firstLineChars="200"/>
        <w:rPr>
          <w:rFonts w:eastAsia="仿宋_GB2312"/>
          <w:szCs w:val="32"/>
        </w:rPr>
      </w:pPr>
      <w:r>
        <w:rPr>
          <w:rFonts w:eastAsia="仿宋_GB2312"/>
          <w:szCs w:val="32"/>
        </w:rPr>
        <w:t>1. 针对本次部门绩效管理工作2021年度考核自评存在的不足，我中心将根据市财政局预算绩效管理目标要求及时落实来年事中预算绩效监控管理目标责任，积极宣传预算绩效管理工作情况，努力实现全面绩效管理目标。</w:t>
      </w:r>
    </w:p>
    <w:p>
      <w:pPr>
        <w:spacing w:line="600" w:lineRule="exact"/>
        <w:ind w:firstLine="640" w:firstLineChars="200"/>
        <w:rPr>
          <w:rFonts w:eastAsia="仿宋_GB2312"/>
          <w:szCs w:val="32"/>
        </w:rPr>
      </w:pPr>
      <w:r>
        <w:rPr>
          <w:rFonts w:eastAsia="仿宋_GB2312"/>
          <w:szCs w:val="32"/>
        </w:rPr>
        <w:t>2. 优化绩效管理工作，简化程序，细化绩效指标体系，结合工作实际情况，科学设定切实可行的绩效目标，加强绩效监控，建立健全动态监控机制，及时总结经验，注重绩效结果运用。</w:t>
      </w:r>
    </w:p>
    <w:p>
      <w:pPr>
        <w:spacing w:line="600" w:lineRule="exact"/>
        <w:ind w:firstLine="640" w:firstLineChars="200"/>
        <w:rPr>
          <w:rFonts w:eastAsia="仿宋_GB2312"/>
          <w:szCs w:val="32"/>
        </w:rPr>
      </w:pPr>
      <w:r>
        <w:rPr>
          <w:rFonts w:eastAsia="仿宋_GB2312"/>
          <w:szCs w:val="32"/>
        </w:rPr>
        <w:t>3. 建议分行业、分领域、分部门制定预算绩效管理参照模板，便于各预算单位参考。</w:t>
      </w:r>
    </w:p>
    <w:p>
      <w:pPr>
        <w:spacing w:line="620" w:lineRule="exact"/>
        <w:ind w:firstLine="560" w:firstLineChars="200"/>
        <w:rPr>
          <w:sz w:val="28"/>
          <w:szCs w:val="28"/>
        </w:rPr>
      </w:pPr>
      <w:r>
        <w:rPr>
          <w:sz w:val="28"/>
          <w:szCs w:val="28"/>
        </w:rPr>
        <w:t xml:space="preserve">     </w:t>
      </w:r>
    </w:p>
    <w:p>
      <w:pPr>
        <w:kinsoku w:val="0"/>
        <w:overflowPunct w:val="0"/>
        <w:spacing w:before="12"/>
        <w:rPr>
          <w:rFonts w:eastAsia="黑体"/>
          <w:szCs w:val="32"/>
        </w:rPr>
      </w:pPr>
      <w:r>
        <w:rPr>
          <w:sz w:val="28"/>
          <w:szCs w:val="28"/>
        </w:rPr>
        <w:t xml:space="preserve">                        </w:t>
      </w:r>
    </w:p>
    <w:p>
      <w:pPr>
        <w:spacing w:line="600" w:lineRule="exact"/>
        <w:jc w:val="center"/>
        <w:outlineLvl w:val="0"/>
        <w:rPr>
          <w:rFonts w:eastAsia="黑体"/>
          <w:sz w:val="44"/>
          <w:szCs w:val="44"/>
        </w:rPr>
      </w:pPr>
      <w:r>
        <w:rPr>
          <w:rFonts w:eastAsia="黑体"/>
          <w:szCs w:val="32"/>
        </w:rPr>
        <w:br w:type="page"/>
      </w:r>
    </w:p>
    <w:p>
      <w:pPr>
        <w:overflowPunct w:val="0"/>
        <w:topLinePunct/>
        <w:spacing w:line="620" w:lineRule="exact"/>
        <w:jc w:val="center"/>
        <w:rPr>
          <w:rFonts w:eastAsia="方正小标宋简体"/>
          <w:sz w:val="44"/>
          <w:szCs w:val="44"/>
        </w:rPr>
      </w:pPr>
      <w:r>
        <w:rPr>
          <w:rFonts w:eastAsia="方正小标宋简体"/>
          <w:sz w:val="44"/>
          <w:szCs w:val="44"/>
        </w:rPr>
        <w:t>2021年项目支出绩效自评报告</w:t>
      </w:r>
    </w:p>
    <w:p>
      <w:pPr>
        <w:overflowPunct w:val="0"/>
        <w:topLinePunct/>
        <w:spacing w:line="620" w:lineRule="exact"/>
        <w:jc w:val="center"/>
        <w:rPr>
          <w:rFonts w:eastAsia="方正小标宋简体"/>
          <w:sz w:val="44"/>
          <w:szCs w:val="44"/>
        </w:rPr>
      </w:pPr>
      <w:r>
        <w:rPr>
          <w:rFonts w:eastAsia="方正小标宋简体"/>
          <w:sz w:val="44"/>
          <w:szCs w:val="44"/>
        </w:rPr>
        <w:t>（票据工本费）</w:t>
      </w:r>
    </w:p>
    <w:p>
      <w:pPr>
        <w:tabs>
          <w:tab w:val="left" w:pos="3885"/>
        </w:tabs>
        <w:snapToGrid w:val="0"/>
        <w:spacing w:line="570" w:lineRule="exact"/>
        <w:ind w:firstLine="560" w:firstLineChars="200"/>
        <w:rPr>
          <w:b/>
          <w:sz w:val="28"/>
          <w:szCs w:val="28"/>
        </w:rPr>
      </w:pPr>
    </w:p>
    <w:p>
      <w:pPr>
        <w:spacing w:line="570" w:lineRule="exact"/>
        <w:ind w:firstLine="640" w:firstLineChars="200"/>
        <w:rPr>
          <w:rFonts w:eastAsia="黑体"/>
          <w:szCs w:val="32"/>
        </w:rPr>
      </w:pPr>
      <w:r>
        <w:rPr>
          <w:rFonts w:eastAsia="黑体"/>
          <w:szCs w:val="32"/>
        </w:rPr>
        <w:t>一、基本情况</w:t>
      </w:r>
    </w:p>
    <w:p>
      <w:pPr>
        <w:spacing w:line="570" w:lineRule="exact"/>
        <w:ind w:firstLine="640" w:firstLineChars="200"/>
        <w:rPr>
          <w:rFonts w:eastAsia="仿宋_GB2312"/>
          <w:szCs w:val="32"/>
        </w:rPr>
      </w:pPr>
      <w:r>
        <w:rPr>
          <w:rFonts w:eastAsia="楷体_GB2312"/>
          <w:szCs w:val="32"/>
        </w:rPr>
        <w:t>（一）项目概况：</w:t>
      </w:r>
      <w:r>
        <w:rPr>
          <w:rFonts w:eastAsia="仿宋_GB2312"/>
          <w:szCs w:val="32"/>
        </w:rPr>
        <w:t>2021年申报、批复“其他财政事务支出”项目预算</w:t>
      </w:r>
      <w:r>
        <w:rPr>
          <w:rFonts w:hint="eastAsia" w:eastAsia="仿宋_GB2312"/>
          <w:szCs w:val="32"/>
          <w:lang w:val="en-US" w:eastAsia="zh-CN"/>
        </w:rPr>
        <w:t>74.92</w:t>
      </w:r>
      <w:r>
        <w:rPr>
          <w:rFonts w:eastAsia="仿宋_GB2312"/>
          <w:szCs w:val="32"/>
        </w:rPr>
        <w:t>万元，其中“工本费”项目50万元，预算内容为票管中心票据购置工本费。</w:t>
      </w:r>
    </w:p>
    <w:p>
      <w:pPr>
        <w:spacing w:line="570" w:lineRule="exact"/>
        <w:ind w:firstLine="640" w:firstLineChars="200"/>
        <w:rPr>
          <w:rFonts w:eastAsia="仿宋_GB2312"/>
          <w:szCs w:val="32"/>
        </w:rPr>
      </w:pPr>
      <w:r>
        <w:rPr>
          <w:rFonts w:eastAsia="楷体_GB2312"/>
          <w:szCs w:val="32"/>
        </w:rPr>
        <w:t>（二）项目实施情况：</w:t>
      </w:r>
      <w:r>
        <w:rPr>
          <w:rFonts w:eastAsia="仿宋_GB2312"/>
          <w:szCs w:val="32"/>
        </w:rPr>
        <w:t>因制定计划合理有效，年度征订箱数完成率达100%。</w:t>
      </w:r>
    </w:p>
    <w:p>
      <w:pPr>
        <w:spacing w:line="570" w:lineRule="exact"/>
        <w:ind w:firstLine="640" w:firstLineChars="200"/>
        <w:rPr>
          <w:rFonts w:eastAsia="仿宋_GB2312"/>
          <w:szCs w:val="32"/>
        </w:rPr>
      </w:pPr>
      <w:r>
        <w:rPr>
          <w:rFonts w:eastAsia="楷体_GB2312"/>
          <w:szCs w:val="32"/>
        </w:rPr>
        <w:t>（三）资金投入使用情况：</w:t>
      </w:r>
      <w:r>
        <w:rPr>
          <w:rFonts w:eastAsia="仿宋_GB2312"/>
          <w:szCs w:val="32"/>
        </w:rPr>
        <w:t>使用金额为50万元。</w:t>
      </w:r>
    </w:p>
    <w:p>
      <w:pPr>
        <w:spacing w:line="570" w:lineRule="exact"/>
        <w:ind w:firstLine="640" w:firstLineChars="200"/>
        <w:rPr>
          <w:rFonts w:eastAsia="黑体"/>
          <w:szCs w:val="32"/>
        </w:rPr>
      </w:pPr>
      <w:r>
        <w:rPr>
          <w:rFonts w:eastAsia="黑体"/>
          <w:szCs w:val="32"/>
        </w:rPr>
        <w:t>二、评价工作开展情况</w:t>
      </w:r>
    </w:p>
    <w:p>
      <w:pPr>
        <w:spacing w:line="570" w:lineRule="exact"/>
        <w:ind w:firstLine="640" w:firstLineChars="200"/>
        <w:rPr>
          <w:rFonts w:eastAsia="仿宋_GB2312"/>
          <w:szCs w:val="32"/>
        </w:rPr>
      </w:pPr>
      <w:r>
        <w:rPr>
          <w:rFonts w:eastAsia="仿宋_GB2312"/>
          <w:szCs w:val="32"/>
        </w:rPr>
        <w:t>根据《遂宁市财政局关于开展2021年部门、项目、政策支出绩效自评工作的通知》（遂财绩〔2021〕3号）要求，我中心组织项目部对预算批复中涉及的项目支出开展自评工作。根据项目特点设计符合项目评价要求的评价指标体系及评价方法。通过指标评价并打分，总结项目管理经验及存在的问题，为来年预算编制的完整和准确提供依据。</w:t>
      </w:r>
    </w:p>
    <w:p>
      <w:pPr>
        <w:spacing w:line="570" w:lineRule="exact"/>
        <w:ind w:firstLine="640" w:firstLineChars="200"/>
        <w:rPr>
          <w:rFonts w:eastAsia="黑体"/>
          <w:szCs w:val="32"/>
        </w:rPr>
      </w:pPr>
      <w:r>
        <w:rPr>
          <w:rFonts w:eastAsia="黑体"/>
          <w:szCs w:val="32"/>
        </w:rPr>
        <w:t>三、综合评价结论</w:t>
      </w:r>
    </w:p>
    <w:p>
      <w:pPr>
        <w:spacing w:line="570" w:lineRule="exact"/>
        <w:ind w:firstLine="640" w:firstLineChars="200"/>
        <w:rPr>
          <w:rFonts w:eastAsia="仿宋_GB2312"/>
          <w:szCs w:val="32"/>
        </w:rPr>
      </w:pPr>
      <w:r>
        <w:rPr>
          <w:rFonts w:eastAsia="仿宋_GB2312"/>
          <w:szCs w:val="32"/>
        </w:rPr>
        <w:t>项目实施符合部门实际需要，申报内容满足绩效目标管理要求，资金使用符合财政管理规定，自评得分98分。</w:t>
      </w:r>
    </w:p>
    <w:p>
      <w:pPr>
        <w:spacing w:line="570" w:lineRule="exact"/>
        <w:ind w:firstLine="640" w:firstLineChars="200"/>
        <w:rPr>
          <w:rFonts w:eastAsia="黑体"/>
          <w:szCs w:val="32"/>
        </w:rPr>
      </w:pPr>
      <w:r>
        <w:rPr>
          <w:rFonts w:eastAsia="黑体"/>
          <w:szCs w:val="32"/>
        </w:rPr>
        <w:t>四、绩效评价分析</w:t>
      </w:r>
    </w:p>
    <w:p>
      <w:pPr>
        <w:spacing w:line="570" w:lineRule="exact"/>
        <w:ind w:firstLine="640" w:firstLineChars="200"/>
        <w:rPr>
          <w:rFonts w:eastAsia="楷体_GB2312"/>
          <w:szCs w:val="32"/>
        </w:rPr>
      </w:pPr>
      <w:r>
        <w:rPr>
          <w:rFonts w:eastAsia="楷体_GB2312"/>
          <w:szCs w:val="32"/>
        </w:rPr>
        <w:t>（一）项目决策情况</w:t>
      </w:r>
    </w:p>
    <w:p>
      <w:pPr>
        <w:spacing w:line="570" w:lineRule="exact"/>
        <w:ind w:firstLine="640" w:firstLineChars="200"/>
        <w:rPr>
          <w:rFonts w:eastAsia="仿宋_GB2312"/>
          <w:szCs w:val="32"/>
        </w:rPr>
      </w:pPr>
      <w:r>
        <w:rPr>
          <w:rFonts w:eastAsia="仿宋_GB2312"/>
          <w:b/>
          <w:szCs w:val="32"/>
        </w:rPr>
        <w:t>1. 程序严密：</w:t>
      </w:r>
      <w:r>
        <w:rPr>
          <w:rFonts w:eastAsia="仿宋_GB2312"/>
          <w:szCs w:val="32"/>
        </w:rPr>
        <w:t>严格按照票据管理办法执行，强化财政票据源头管理、做好领、用、核环节,实行制度化管理。所有票据按序摆放，并且做好防盗、防潮、防火、防虫等各项措施以确保票据安全工作万无一失。</w:t>
      </w:r>
    </w:p>
    <w:p>
      <w:pPr>
        <w:spacing w:line="570" w:lineRule="exact"/>
        <w:ind w:firstLine="640" w:firstLineChars="200"/>
        <w:rPr>
          <w:rFonts w:eastAsia="仿宋_GB2312"/>
          <w:szCs w:val="32"/>
        </w:rPr>
      </w:pPr>
      <w:r>
        <w:rPr>
          <w:rFonts w:eastAsia="仿宋_GB2312"/>
          <w:b/>
          <w:szCs w:val="32"/>
        </w:rPr>
        <w:t>2. 规划合理：</w:t>
      </w:r>
      <w:r>
        <w:rPr>
          <w:rFonts w:eastAsia="仿宋_GB2312"/>
          <w:szCs w:val="32"/>
        </w:rPr>
        <w:t>每个季度准时向下征收票据计划，向上上报票据征订计划。准确、有效。</w:t>
      </w:r>
    </w:p>
    <w:p>
      <w:pPr>
        <w:spacing w:line="570" w:lineRule="exact"/>
        <w:ind w:firstLine="640" w:firstLineChars="200"/>
        <w:rPr>
          <w:rFonts w:eastAsia="楷体_GB2312"/>
          <w:szCs w:val="32"/>
        </w:rPr>
      </w:pPr>
      <w:r>
        <w:rPr>
          <w:rFonts w:eastAsia="楷体_GB2312"/>
          <w:szCs w:val="32"/>
        </w:rPr>
        <w:t>（二）项目管理情况</w:t>
      </w:r>
    </w:p>
    <w:p>
      <w:pPr>
        <w:spacing w:line="570" w:lineRule="exact"/>
        <w:ind w:firstLine="640" w:firstLineChars="200"/>
        <w:rPr>
          <w:rFonts w:eastAsia="仿宋_GB2312"/>
          <w:szCs w:val="32"/>
        </w:rPr>
      </w:pPr>
      <w:r>
        <w:rPr>
          <w:rFonts w:eastAsia="仿宋_GB2312"/>
          <w:b/>
          <w:szCs w:val="32"/>
        </w:rPr>
        <w:t>1. 分配合理：</w:t>
      </w:r>
      <w:r>
        <w:rPr>
          <w:rFonts w:eastAsia="仿宋_GB2312"/>
          <w:szCs w:val="32"/>
        </w:rPr>
        <w:t>每季度准时向省上报票据征订计划，时效率达100%。及时有效合理。</w:t>
      </w:r>
    </w:p>
    <w:p>
      <w:pPr>
        <w:spacing w:line="570" w:lineRule="exact"/>
        <w:ind w:firstLine="640" w:firstLineChars="200"/>
        <w:rPr>
          <w:rFonts w:eastAsia="仿宋_GB2312"/>
          <w:szCs w:val="32"/>
        </w:rPr>
      </w:pPr>
      <w:r>
        <w:rPr>
          <w:rFonts w:eastAsia="仿宋_GB2312"/>
          <w:b/>
          <w:szCs w:val="32"/>
        </w:rPr>
        <w:t>2. 使用合规：</w:t>
      </w:r>
      <w:r>
        <w:rPr>
          <w:rFonts w:eastAsia="仿宋_GB2312"/>
          <w:szCs w:val="32"/>
        </w:rPr>
        <w:t>严把票据入库，确保入库票据的完整性、准确性。</w:t>
      </w:r>
    </w:p>
    <w:p>
      <w:pPr>
        <w:spacing w:line="570" w:lineRule="exact"/>
        <w:ind w:firstLine="640" w:firstLineChars="200"/>
        <w:rPr>
          <w:rFonts w:eastAsia="仿宋_GB2312"/>
          <w:szCs w:val="32"/>
        </w:rPr>
      </w:pPr>
      <w:r>
        <w:rPr>
          <w:rFonts w:eastAsia="仿宋_GB2312"/>
          <w:b/>
          <w:szCs w:val="32"/>
        </w:rPr>
        <w:t>3. 执行有效：</w:t>
      </w:r>
      <w:r>
        <w:rPr>
          <w:rFonts w:eastAsia="仿宋_GB2312"/>
          <w:szCs w:val="32"/>
        </w:rPr>
        <w:t>有序的向各区县、各用票单位发放财政票据，满足各区县使用财政票据需求。</w:t>
      </w:r>
    </w:p>
    <w:p>
      <w:pPr>
        <w:spacing w:line="570" w:lineRule="exact"/>
        <w:ind w:firstLine="640" w:firstLineChars="200"/>
        <w:rPr>
          <w:rFonts w:eastAsia="仿宋_GB2312"/>
          <w:szCs w:val="32"/>
        </w:rPr>
      </w:pPr>
      <w:r>
        <w:rPr>
          <w:rFonts w:eastAsia="楷体_GB2312"/>
          <w:szCs w:val="32"/>
        </w:rPr>
        <w:t>（三）项目产出情况：</w:t>
      </w:r>
      <w:r>
        <w:rPr>
          <w:rFonts w:eastAsia="仿宋_GB2312"/>
          <w:szCs w:val="32"/>
        </w:rPr>
        <w:t>全部完成年度计划征订，制定的票据计划合理，指导用票单位正确填写财政票据、节省纸张。且未发生重大事故。</w:t>
      </w:r>
    </w:p>
    <w:p>
      <w:pPr>
        <w:spacing w:line="570" w:lineRule="exact"/>
        <w:ind w:firstLine="640" w:firstLineChars="200"/>
        <w:rPr>
          <w:rFonts w:eastAsia="楷体_GB2312"/>
          <w:szCs w:val="32"/>
        </w:rPr>
      </w:pPr>
      <w:r>
        <w:rPr>
          <w:rFonts w:eastAsia="楷体_GB2312"/>
          <w:szCs w:val="32"/>
        </w:rPr>
        <w:t>（四）项目效益情况</w:t>
      </w:r>
    </w:p>
    <w:p>
      <w:pPr>
        <w:spacing w:line="570" w:lineRule="exact"/>
        <w:ind w:firstLine="640" w:firstLineChars="200"/>
        <w:rPr>
          <w:rFonts w:eastAsia="仿宋_GB2312"/>
          <w:szCs w:val="32"/>
        </w:rPr>
      </w:pPr>
      <w:r>
        <w:rPr>
          <w:rFonts w:eastAsia="仿宋_GB2312"/>
          <w:b/>
          <w:szCs w:val="32"/>
        </w:rPr>
        <w:t>1. 项目效果：</w:t>
      </w:r>
      <w:r>
        <w:rPr>
          <w:rFonts w:eastAsia="仿宋_GB2312"/>
          <w:szCs w:val="32"/>
        </w:rPr>
        <w:t>确保了我市政府非税收入征收管理顺利开展，有序推进财政票据发放工作。</w:t>
      </w:r>
    </w:p>
    <w:p>
      <w:pPr>
        <w:spacing w:line="570" w:lineRule="exact"/>
        <w:ind w:firstLine="640" w:firstLineChars="200"/>
        <w:rPr>
          <w:rFonts w:eastAsia="仿宋_GB2312"/>
          <w:szCs w:val="32"/>
        </w:rPr>
      </w:pPr>
      <w:r>
        <w:rPr>
          <w:rFonts w:eastAsia="仿宋_GB2312"/>
          <w:b/>
          <w:szCs w:val="32"/>
        </w:rPr>
        <w:t>2. 社会效益：</w:t>
      </w:r>
      <w:r>
        <w:rPr>
          <w:rFonts w:eastAsia="仿宋_GB2312"/>
          <w:szCs w:val="32"/>
        </w:rPr>
        <w:t>我中心有序的向各区县各用票单位发放财政票据，满足使用需求。各用票单位满意度达100%。</w:t>
      </w:r>
    </w:p>
    <w:p>
      <w:pPr>
        <w:spacing w:line="570" w:lineRule="exact"/>
        <w:ind w:firstLine="640" w:firstLineChars="200"/>
        <w:rPr>
          <w:rFonts w:eastAsia="黑体"/>
          <w:szCs w:val="32"/>
        </w:rPr>
      </w:pPr>
      <w:r>
        <w:rPr>
          <w:rFonts w:eastAsia="黑体"/>
          <w:szCs w:val="32"/>
        </w:rPr>
        <w:t>五、存在主要问题</w:t>
      </w:r>
    </w:p>
    <w:p>
      <w:pPr>
        <w:spacing w:line="570" w:lineRule="exact"/>
        <w:ind w:firstLine="640" w:firstLineChars="200"/>
        <w:rPr>
          <w:rFonts w:eastAsia="仿宋_GB2312"/>
          <w:szCs w:val="32"/>
        </w:rPr>
      </w:pPr>
      <w:r>
        <w:rPr>
          <w:rFonts w:eastAsia="仿宋_GB2312"/>
          <w:szCs w:val="32"/>
        </w:rPr>
        <w:t>等待电子票据普及化。等待电子版一般缴款书全面上线。</w:t>
      </w:r>
    </w:p>
    <w:p>
      <w:pPr>
        <w:spacing w:line="570" w:lineRule="exact"/>
        <w:ind w:firstLine="640" w:firstLineChars="200"/>
        <w:rPr>
          <w:rFonts w:eastAsia="黑体"/>
          <w:szCs w:val="32"/>
        </w:rPr>
      </w:pPr>
      <w:r>
        <w:rPr>
          <w:rFonts w:eastAsia="黑体"/>
          <w:szCs w:val="32"/>
        </w:rPr>
        <w:t>六、相关措施建议</w:t>
      </w:r>
    </w:p>
    <w:p>
      <w:pPr>
        <w:spacing w:line="570" w:lineRule="exact"/>
        <w:ind w:firstLine="640" w:firstLineChars="200"/>
        <w:rPr>
          <w:rFonts w:eastAsia="仿宋_GB2312"/>
          <w:szCs w:val="32"/>
        </w:rPr>
      </w:pPr>
      <w:r>
        <w:rPr>
          <w:rFonts w:eastAsia="仿宋_GB2312"/>
          <w:szCs w:val="32"/>
        </w:rPr>
        <w:t>无</w:t>
      </w:r>
    </w:p>
    <w:p>
      <w:pPr>
        <w:pStyle w:val="3"/>
        <w:spacing w:before="0" w:after="0" w:line="700" w:lineRule="exact"/>
        <w:jc w:val="center"/>
        <w:rPr>
          <w:rFonts w:eastAsia="方正小标宋_GBK"/>
          <w:b w:val="0"/>
        </w:rPr>
      </w:pPr>
      <w:bookmarkStart w:id="81" w:name="_Toc113273309"/>
      <w:r>
        <w:rPr>
          <w:rFonts w:eastAsia="方正小标宋_GBK"/>
          <w:b w:val="0"/>
          <w:bCs w:val="0"/>
        </w:rPr>
        <w:t>第</w:t>
      </w:r>
      <w:r>
        <w:rPr>
          <w:rFonts w:eastAsia="方正小标宋_GBK"/>
          <w:b w:val="0"/>
        </w:rPr>
        <w:t>五部分 附表</w:t>
      </w:r>
      <w:bookmarkEnd w:id="78"/>
      <w:bookmarkEnd w:id="80"/>
      <w:bookmarkEnd w:id="81"/>
      <w:bookmarkStart w:id="82" w:name="_Toc15396619"/>
    </w:p>
    <w:p/>
    <w:p>
      <w:pPr>
        <w:pStyle w:val="4"/>
        <w:spacing w:before="0" w:after="0" w:line="240" w:lineRule="auto"/>
        <w:ind w:firstLine="640" w:firstLineChars="200"/>
        <w:rPr>
          <w:rFonts w:ascii="Times New Roman" w:hAnsi="Times New Roman" w:eastAsia="黑体" w:cs="Times New Roman"/>
          <w:b w:val="0"/>
          <w:bCs w:val="0"/>
        </w:rPr>
      </w:pPr>
      <w:bookmarkStart w:id="83" w:name="_Toc113273310"/>
      <w:r>
        <w:rPr>
          <w:rFonts w:ascii="Times New Roman" w:hAnsi="Times New Roman" w:eastAsia="黑体" w:cs="Times New Roman"/>
          <w:b w:val="0"/>
          <w:bCs w:val="0"/>
        </w:rPr>
        <w:t>一、收</w:t>
      </w:r>
      <w:r>
        <w:rPr>
          <w:rStyle w:val="25"/>
          <w:rFonts w:ascii="Times New Roman" w:hAnsi="Times New Roman" w:eastAsia="黑体" w:cs="Times New Roman"/>
          <w:b w:val="0"/>
          <w:bCs w:val="0"/>
        </w:rPr>
        <w:t>入支出决算总表</w:t>
      </w:r>
      <w:bookmarkEnd w:id="82"/>
      <w:bookmarkEnd w:id="83"/>
    </w:p>
    <w:p>
      <w:pPr>
        <w:pStyle w:val="4"/>
        <w:spacing w:before="0" w:after="0" w:line="240" w:lineRule="auto"/>
        <w:ind w:firstLine="640" w:firstLineChars="200"/>
        <w:rPr>
          <w:rFonts w:ascii="Times New Roman" w:hAnsi="Times New Roman" w:eastAsia="黑体" w:cs="Times New Roman"/>
          <w:b w:val="0"/>
          <w:bCs w:val="0"/>
        </w:rPr>
      </w:pPr>
      <w:bookmarkStart w:id="84" w:name="_Toc113273311"/>
      <w:bookmarkStart w:id="85" w:name="_Toc15396620"/>
      <w:r>
        <w:rPr>
          <w:rFonts w:ascii="Times New Roman" w:hAnsi="Times New Roman" w:eastAsia="黑体" w:cs="Times New Roman"/>
          <w:b w:val="0"/>
          <w:bCs w:val="0"/>
        </w:rPr>
        <w:t>二、收</w:t>
      </w:r>
      <w:r>
        <w:rPr>
          <w:rStyle w:val="25"/>
          <w:rFonts w:ascii="Times New Roman" w:hAnsi="Times New Roman" w:eastAsia="黑体" w:cs="Times New Roman"/>
          <w:b w:val="0"/>
          <w:bCs w:val="0"/>
        </w:rPr>
        <w:t>入决算表</w:t>
      </w:r>
      <w:bookmarkEnd w:id="84"/>
      <w:bookmarkEnd w:id="85"/>
    </w:p>
    <w:p>
      <w:pPr>
        <w:pStyle w:val="4"/>
        <w:spacing w:before="0" w:after="0" w:line="240" w:lineRule="auto"/>
        <w:ind w:firstLine="640" w:firstLineChars="200"/>
        <w:rPr>
          <w:rFonts w:ascii="Times New Roman" w:hAnsi="Times New Roman" w:eastAsia="黑体" w:cs="Times New Roman"/>
          <w:b w:val="0"/>
          <w:bCs w:val="0"/>
        </w:rPr>
      </w:pPr>
      <w:bookmarkStart w:id="86" w:name="_Toc15396621"/>
      <w:bookmarkStart w:id="87" w:name="_Toc113273312"/>
      <w:r>
        <w:rPr>
          <w:rStyle w:val="25"/>
          <w:rFonts w:ascii="Times New Roman" w:hAnsi="Times New Roman" w:eastAsia="黑体" w:cs="Times New Roman"/>
          <w:b w:val="0"/>
          <w:bCs w:val="0"/>
        </w:rPr>
        <w:t>三、</w:t>
      </w:r>
      <w:r>
        <w:rPr>
          <w:rFonts w:ascii="Times New Roman" w:hAnsi="Times New Roman" w:eastAsia="黑体" w:cs="Times New Roman"/>
          <w:b w:val="0"/>
          <w:bCs w:val="0"/>
        </w:rPr>
        <w:t>支</w:t>
      </w:r>
      <w:r>
        <w:rPr>
          <w:rStyle w:val="25"/>
          <w:rFonts w:ascii="Times New Roman" w:hAnsi="Times New Roman" w:eastAsia="黑体" w:cs="Times New Roman"/>
          <w:b w:val="0"/>
          <w:bCs w:val="0"/>
        </w:rPr>
        <w:t>出决算表</w:t>
      </w:r>
      <w:bookmarkEnd w:id="86"/>
      <w:bookmarkEnd w:id="87"/>
    </w:p>
    <w:p>
      <w:pPr>
        <w:pStyle w:val="4"/>
        <w:spacing w:before="0" w:after="0" w:line="240" w:lineRule="auto"/>
        <w:ind w:firstLine="640" w:firstLineChars="200"/>
        <w:rPr>
          <w:rFonts w:ascii="Times New Roman" w:hAnsi="Times New Roman" w:eastAsia="黑体" w:cs="Times New Roman"/>
          <w:b w:val="0"/>
          <w:bCs w:val="0"/>
        </w:rPr>
      </w:pPr>
      <w:bookmarkStart w:id="88" w:name="_Toc113273313"/>
      <w:bookmarkStart w:id="89" w:name="_Toc15396622"/>
      <w:r>
        <w:rPr>
          <w:rStyle w:val="25"/>
          <w:rFonts w:ascii="Times New Roman" w:hAnsi="Times New Roman" w:eastAsia="黑体" w:cs="Times New Roman"/>
          <w:b w:val="0"/>
          <w:bCs w:val="0"/>
        </w:rPr>
        <w:t>四、</w:t>
      </w:r>
      <w:r>
        <w:rPr>
          <w:rFonts w:ascii="Times New Roman" w:hAnsi="Times New Roman" w:eastAsia="黑体" w:cs="Times New Roman"/>
          <w:b w:val="0"/>
          <w:bCs w:val="0"/>
        </w:rPr>
        <w:t>财</w:t>
      </w:r>
      <w:r>
        <w:rPr>
          <w:rStyle w:val="25"/>
          <w:rFonts w:ascii="Times New Roman" w:hAnsi="Times New Roman" w:eastAsia="黑体" w:cs="Times New Roman"/>
          <w:b w:val="0"/>
          <w:bCs w:val="0"/>
        </w:rPr>
        <w:t>政拨款收入支出决算总表</w:t>
      </w:r>
      <w:bookmarkEnd w:id="88"/>
      <w:bookmarkEnd w:id="89"/>
    </w:p>
    <w:p>
      <w:pPr>
        <w:pStyle w:val="4"/>
        <w:spacing w:before="0" w:after="0" w:line="240" w:lineRule="auto"/>
        <w:ind w:firstLine="640" w:firstLineChars="200"/>
        <w:rPr>
          <w:rStyle w:val="25"/>
          <w:rFonts w:ascii="Times New Roman" w:hAnsi="Times New Roman" w:eastAsia="黑体" w:cs="Times New Roman"/>
          <w:b w:val="0"/>
          <w:bCs w:val="0"/>
        </w:rPr>
      </w:pPr>
      <w:bookmarkStart w:id="90" w:name="_Toc15396623"/>
      <w:bookmarkStart w:id="91" w:name="_Toc113273314"/>
      <w:r>
        <w:rPr>
          <w:rStyle w:val="25"/>
          <w:rFonts w:ascii="Times New Roman" w:hAnsi="Times New Roman" w:eastAsia="黑体" w:cs="Times New Roman"/>
          <w:b w:val="0"/>
          <w:bCs w:val="0"/>
        </w:rPr>
        <w:t>五、</w:t>
      </w:r>
      <w:r>
        <w:rPr>
          <w:rFonts w:ascii="Times New Roman" w:hAnsi="Times New Roman" w:eastAsia="黑体" w:cs="Times New Roman"/>
          <w:b w:val="0"/>
          <w:bCs w:val="0"/>
        </w:rPr>
        <w:t>财</w:t>
      </w:r>
      <w:r>
        <w:rPr>
          <w:rStyle w:val="25"/>
          <w:rFonts w:ascii="Times New Roman" w:hAnsi="Times New Roman" w:eastAsia="黑体" w:cs="Times New Roman"/>
          <w:b w:val="0"/>
          <w:bCs w:val="0"/>
        </w:rPr>
        <w:t>政拨款支出决算明细表</w:t>
      </w:r>
      <w:bookmarkEnd w:id="90"/>
      <w:bookmarkEnd w:id="91"/>
      <w:bookmarkStart w:id="92" w:name="_Toc15396624"/>
    </w:p>
    <w:p>
      <w:pPr>
        <w:pStyle w:val="4"/>
        <w:spacing w:before="0" w:after="0" w:line="240" w:lineRule="auto"/>
        <w:ind w:firstLine="640" w:firstLineChars="200"/>
        <w:rPr>
          <w:rFonts w:ascii="Times New Roman" w:hAnsi="Times New Roman" w:eastAsia="黑体" w:cs="Times New Roman"/>
          <w:b w:val="0"/>
          <w:bCs w:val="0"/>
        </w:rPr>
      </w:pPr>
      <w:bookmarkStart w:id="93" w:name="_Toc113273315"/>
      <w:r>
        <w:rPr>
          <w:rStyle w:val="25"/>
          <w:rFonts w:ascii="Times New Roman" w:hAnsi="Times New Roman" w:eastAsia="黑体" w:cs="Times New Roman"/>
          <w:b w:val="0"/>
          <w:bCs w:val="0"/>
        </w:rPr>
        <w:t>六、</w:t>
      </w:r>
      <w:r>
        <w:rPr>
          <w:rFonts w:ascii="Times New Roman" w:hAnsi="Times New Roman" w:eastAsia="黑体" w:cs="Times New Roman"/>
          <w:b w:val="0"/>
          <w:bCs w:val="0"/>
        </w:rPr>
        <w:t>一</w:t>
      </w:r>
      <w:r>
        <w:rPr>
          <w:rStyle w:val="25"/>
          <w:rFonts w:ascii="Times New Roman" w:hAnsi="Times New Roman" w:eastAsia="黑体" w:cs="Times New Roman"/>
          <w:b w:val="0"/>
          <w:bCs w:val="0"/>
        </w:rPr>
        <w:t>般公共预算财政拨款支出决算表</w:t>
      </w:r>
      <w:bookmarkEnd w:id="92"/>
      <w:bookmarkEnd w:id="93"/>
    </w:p>
    <w:p>
      <w:pPr>
        <w:pStyle w:val="4"/>
        <w:spacing w:before="0" w:after="0" w:line="240" w:lineRule="auto"/>
        <w:ind w:firstLine="640" w:firstLineChars="200"/>
        <w:rPr>
          <w:rFonts w:ascii="Times New Roman" w:hAnsi="Times New Roman" w:eastAsia="黑体" w:cs="Times New Roman"/>
          <w:b w:val="0"/>
          <w:bCs w:val="0"/>
        </w:rPr>
      </w:pPr>
      <w:bookmarkStart w:id="94" w:name="_Toc113273316"/>
      <w:bookmarkStart w:id="95" w:name="_Toc15396625"/>
      <w:r>
        <w:rPr>
          <w:rStyle w:val="25"/>
          <w:rFonts w:ascii="Times New Roman" w:hAnsi="Times New Roman" w:eastAsia="黑体" w:cs="Times New Roman"/>
          <w:b w:val="0"/>
          <w:bCs w:val="0"/>
        </w:rPr>
        <w:t>七、</w:t>
      </w:r>
      <w:r>
        <w:rPr>
          <w:rFonts w:ascii="Times New Roman" w:hAnsi="Times New Roman" w:eastAsia="黑体" w:cs="Times New Roman"/>
          <w:b w:val="0"/>
          <w:bCs w:val="0"/>
        </w:rPr>
        <w:t>一</w:t>
      </w:r>
      <w:r>
        <w:rPr>
          <w:rStyle w:val="25"/>
          <w:rFonts w:ascii="Times New Roman" w:hAnsi="Times New Roman" w:eastAsia="黑体" w:cs="Times New Roman"/>
          <w:b w:val="0"/>
          <w:bCs w:val="0"/>
        </w:rPr>
        <w:t>般公共预算财政拨款支出决算明细表</w:t>
      </w:r>
      <w:bookmarkEnd w:id="94"/>
      <w:bookmarkEnd w:id="95"/>
    </w:p>
    <w:p>
      <w:pPr>
        <w:pStyle w:val="4"/>
        <w:spacing w:before="0" w:after="0" w:line="240" w:lineRule="auto"/>
        <w:ind w:firstLine="640" w:firstLineChars="200"/>
        <w:rPr>
          <w:rFonts w:ascii="Times New Roman" w:hAnsi="Times New Roman" w:eastAsia="黑体" w:cs="Times New Roman"/>
          <w:b w:val="0"/>
          <w:bCs w:val="0"/>
        </w:rPr>
      </w:pPr>
      <w:bookmarkStart w:id="96" w:name="_Toc15396626"/>
      <w:bookmarkStart w:id="97" w:name="_Toc113273317"/>
      <w:r>
        <w:rPr>
          <w:rStyle w:val="25"/>
          <w:rFonts w:ascii="Times New Roman" w:hAnsi="Times New Roman" w:eastAsia="黑体" w:cs="Times New Roman"/>
          <w:b w:val="0"/>
          <w:bCs w:val="0"/>
        </w:rPr>
        <w:t>八、</w:t>
      </w:r>
      <w:r>
        <w:rPr>
          <w:rFonts w:ascii="Times New Roman" w:hAnsi="Times New Roman" w:eastAsia="黑体" w:cs="Times New Roman"/>
          <w:b w:val="0"/>
          <w:bCs w:val="0"/>
        </w:rPr>
        <w:t>一</w:t>
      </w:r>
      <w:r>
        <w:rPr>
          <w:rStyle w:val="25"/>
          <w:rFonts w:ascii="Times New Roman" w:hAnsi="Times New Roman" w:eastAsia="黑体" w:cs="Times New Roman"/>
          <w:b w:val="0"/>
          <w:bCs w:val="0"/>
        </w:rPr>
        <w:t>般公共预算财政拨款基本支出决算表</w:t>
      </w:r>
      <w:bookmarkEnd w:id="96"/>
      <w:bookmarkEnd w:id="97"/>
    </w:p>
    <w:p>
      <w:pPr>
        <w:pStyle w:val="4"/>
        <w:spacing w:before="0" w:after="0" w:line="240" w:lineRule="auto"/>
        <w:ind w:firstLine="640" w:firstLineChars="200"/>
        <w:rPr>
          <w:rFonts w:ascii="Times New Roman" w:hAnsi="Times New Roman" w:eastAsia="黑体" w:cs="Times New Roman"/>
          <w:b w:val="0"/>
          <w:bCs w:val="0"/>
        </w:rPr>
      </w:pPr>
      <w:bookmarkStart w:id="98" w:name="_Toc15396627"/>
      <w:bookmarkStart w:id="99" w:name="_Toc113273318"/>
      <w:r>
        <w:rPr>
          <w:rStyle w:val="25"/>
          <w:rFonts w:ascii="Times New Roman" w:hAnsi="Times New Roman" w:eastAsia="黑体" w:cs="Times New Roman"/>
          <w:b w:val="0"/>
          <w:bCs w:val="0"/>
        </w:rPr>
        <w:t>九、</w:t>
      </w:r>
      <w:r>
        <w:rPr>
          <w:rFonts w:ascii="Times New Roman" w:hAnsi="Times New Roman" w:eastAsia="黑体" w:cs="Times New Roman"/>
          <w:b w:val="0"/>
          <w:bCs w:val="0"/>
        </w:rPr>
        <w:t>一</w:t>
      </w:r>
      <w:r>
        <w:rPr>
          <w:rStyle w:val="25"/>
          <w:rFonts w:ascii="Times New Roman" w:hAnsi="Times New Roman" w:eastAsia="黑体" w:cs="Times New Roman"/>
          <w:b w:val="0"/>
          <w:bCs w:val="0"/>
        </w:rPr>
        <w:t>般公共预算财政拨款项目支出决算表</w:t>
      </w:r>
      <w:bookmarkEnd w:id="98"/>
      <w:bookmarkEnd w:id="99"/>
    </w:p>
    <w:p>
      <w:pPr>
        <w:pStyle w:val="4"/>
        <w:spacing w:before="0" w:after="0" w:line="240" w:lineRule="auto"/>
        <w:ind w:firstLine="640" w:firstLineChars="200"/>
        <w:rPr>
          <w:rFonts w:ascii="Times New Roman" w:hAnsi="Times New Roman" w:eastAsia="黑体" w:cs="Times New Roman"/>
          <w:b w:val="0"/>
          <w:bCs w:val="0"/>
        </w:rPr>
      </w:pPr>
      <w:bookmarkStart w:id="100" w:name="_Toc15396628"/>
      <w:bookmarkStart w:id="101" w:name="_Toc113273319"/>
      <w:r>
        <w:rPr>
          <w:rStyle w:val="25"/>
          <w:rFonts w:ascii="Times New Roman" w:hAnsi="Times New Roman" w:eastAsia="黑体" w:cs="Times New Roman"/>
          <w:b w:val="0"/>
          <w:bCs w:val="0"/>
        </w:rPr>
        <w:t>十、</w:t>
      </w:r>
      <w:r>
        <w:rPr>
          <w:rFonts w:ascii="Times New Roman" w:hAnsi="Times New Roman" w:eastAsia="黑体" w:cs="Times New Roman"/>
          <w:b w:val="0"/>
          <w:bCs w:val="0"/>
        </w:rPr>
        <w:t>一</w:t>
      </w:r>
      <w:r>
        <w:rPr>
          <w:rStyle w:val="25"/>
          <w:rFonts w:ascii="Times New Roman" w:hAnsi="Times New Roman" w:eastAsia="黑体" w:cs="Times New Roman"/>
          <w:b w:val="0"/>
          <w:bCs w:val="0"/>
        </w:rPr>
        <w:t>般公共预算财政拨款“三公”经费支出决算表</w:t>
      </w:r>
      <w:bookmarkEnd w:id="100"/>
      <w:bookmarkEnd w:id="101"/>
    </w:p>
    <w:p>
      <w:pPr>
        <w:pStyle w:val="4"/>
        <w:spacing w:before="0" w:after="0" w:line="240" w:lineRule="auto"/>
        <w:ind w:firstLine="640" w:firstLineChars="200"/>
        <w:rPr>
          <w:rFonts w:ascii="Times New Roman" w:hAnsi="Times New Roman" w:eastAsia="黑体" w:cs="Times New Roman"/>
          <w:b w:val="0"/>
          <w:bCs w:val="0"/>
        </w:rPr>
      </w:pPr>
      <w:bookmarkStart w:id="102" w:name="_Toc113273320"/>
      <w:bookmarkStart w:id="103" w:name="_Toc15396629"/>
      <w:r>
        <w:rPr>
          <w:rStyle w:val="25"/>
          <w:rFonts w:ascii="Times New Roman" w:hAnsi="Times New Roman" w:eastAsia="黑体" w:cs="Times New Roman"/>
          <w:b w:val="0"/>
          <w:bCs w:val="0"/>
        </w:rPr>
        <w:t>十一、</w:t>
      </w:r>
      <w:r>
        <w:rPr>
          <w:rFonts w:ascii="Times New Roman" w:hAnsi="Times New Roman" w:eastAsia="黑体" w:cs="Times New Roman"/>
          <w:b w:val="0"/>
          <w:bCs w:val="0"/>
        </w:rPr>
        <w:t>政</w:t>
      </w:r>
      <w:r>
        <w:rPr>
          <w:rStyle w:val="25"/>
          <w:rFonts w:ascii="Times New Roman" w:hAnsi="Times New Roman" w:eastAsia="黑体" w:cs="Times New Roman"/>
          <w:b w:val="0"/>
          <w:bCs w:val="0"/>
        </w:rPr>
        <w:t>府性基金预算财政拨款收入支出决算表</w:t>
      </w:r>
      <w:bookmarkEnd w:id="102"/>
      <w:bookmarkEnd w:id="103"/>
    </w:p>
    <w:p>
      <w:pPr>
        <w:pStyle w:val="4"/>
        <w:spacing w:before="0" w:after="0" w:line="240" w:lineRule="auto"/>
        <w:ind w:firstLine="640" w:firstLineChars="200"/>
        <w:rPr>
          <w:rFonts w:ascii="Times New Roman" w:hAnsi="Times New Roman" w:eastAsia="黑体" w:cs="Times New Roman"/>
          <w:b w:val="0"/>
          <w:bCs w:val="0"/>
        </w:rPr>
      </w:pPr>
      <w:bookmarkStart w:id="104" w:name="_Toc15396630"/>
      <w:bookmarkStart w:id="105" w:name="_Toc113273321"/>
      <w:r>
        <w:rPr>
          <w:rStyle w:val="25"/>
          <w:rFonts w:ascii="Times New Roman" w:hAnsi="Times New Roman" w:eastAsia="黑体" w:cs="Times New Roman"/>
          <w:b w:val="0"/>
          <w:bCs w:val="0"/>
        </w:rPr>
        <w:t>十二、</w:t>
      </w:r>
      <w:r>
        <w:rPr>
          <w:rFonts w:ascii="Times New Roman" w:hAnsi="Times New Roman" w:eastAsia="黑体" w:cs="Times New Roman"/>
          <w:b w:val="0"/>
          <w:bCs w:val="0"/>
        </w:rPr>
        <w:t>政</w:t>
      </w:r>
      <w:r>
        <w:rPr>
          <w:rStyle w:val="25"/>
          <w:rFonts w:ascii="Times New Roman" w:hAnsi="Times New Roman" w:eastAsia="黑体" w:cs="Times New Roman"/>
          <w:b w:val="0"/>
          <w:bCs w:val="0"/>
        </w:rPr>
        <w:t>府性基金预算财政拨款“三公”经费支出决算表</w:t>
      </w:r>
      <w:bookmarkEnd w:id="104"/>
      <w:bookmarkEnd w:id="105"/>
    </w:p>
    <w:p>
      <w:pPr>
        <w:pStyle w:val="4"/>
        <w:spacing w:before="0" w:after="0" w:line="240" w:lineRule="auto"/>
        <w:ind w:firstLine="640" w:firstLineChars="200"/>
        <w:rPr>
          <w:rStyle w:val="25"/>
          <w:rFonts w:ascii="Times New Roman" w:hAnsi="Times New Roman" w:eastAsia="黑体" w:cs="Times New Roman"/>
          <w:b w:val="0"/>
          <w:bCs w:val="0"/>
        </w:rPr>
      </w:pPr>
      <w:bookmarkStart w:id="106" w:name="_Toc15396631"/>
      <w:bookmarkStart w:id="107" w:name="_Toc113273322"/>
      <w:r>
        <w:rPr>
          <w:rStyle w:val="25"/>
          <w:rFonts w:ascii="Times New Roman" w:hAnsi="Times New Roman" w:eastAsia="黑体" w:cs="Times New Roman"/>
          <w:b w:val="0"/>
          <w:bCs w:val="0"/>
        </w:rPr>
        <w:t>十三、</w:t>
      </w:r>
      <w:r>
        <w:rPr>
          <w:rFonts w:ascii="Times New Roman" w:hAnsi="Times New Roman" w:eastAsia="黑体" w:cs="Times New Roman"/>
          <w:b w:val="0"/>
          <w:bCs w:val="0"/>
        </w:rPr>
        <w:t>国</w:t>
      </w:r>
      <w:r>
        <w:rPr>
          <w:rStyle w:val="25"/>
          <w:rFonts w:ascii="Times New Roman" w:hAnsi="Times New Roman" w:eastAsia="黑体" w:cs="Times New Roman"/>
          <w:b w:val="0"/>
          <w:bCs w:val="0"/>
        </w:rPr>
        <w:t>有资本经营预算财政拨款收入支出决算表</w:t>
      </w:r>
      <w:bookmarkEnd w:id="106"/>
      <w:bookmarkEnd w:id="107"/>
    </w:p>
    <w:p>
      <w:pPr>
        <w:pStyle w:val="4"/>
        <w:spacing w:before="0" w:after="0" w:line="240" w:lineRule="auto"/>
        <w:ind w:firstLine="640" w:firstLineChars="200"/>
        <w:rPr>
          <w:rFonts w:ascii="Times New Roman" w:hAnsi="Times New Roman" w:eastAsia="黑体" w:cs="Times New Roman"/>
          <w:b w:val="0"/>
          <w:bCs w:val="0"/>
        </w:rPr>
      </w:pPr>
      <w:bookmarkStart w:id="108" w:name="_Toc113273323"/>
      <w:r>
        <w:rPr>
          <w:rStyle w:val="25"/>
          <w:rFonts w:ascii="Times New Roman" w:hAnsi="Times New Roman" w:eastAsia="黑体" w:cs="Times New Roman"/>
          <w:b w:val="0"/>
          <w:bCs w:val="0"/>
        </w:rPr>
        <w:t>十四、国有资本经营预算财政拨款支出决算表</w:t>
      </w:r>
      <w:bookmarkEnd w:id="108"/>
    </w:p>
    <w:sectPr>
      <w:pgSz w:w="11906" w:h="16838"/>
      <w:pgMar w:top="1531" w:right="1418" w:bottom="1531" w:left="1418" w:header="851" w:footer="992" w:gutter="0"/>
      <w:pgNumType w:fmt="numberInDash" w:start="1"/>
      <w:cols w:space="425" w:num="1"/>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napToGrid/>
      <w:ind w:left="320" w:leftChars="100" w:right="320" w:rightChars="10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8"/>
      <w:snapToGrid/>
      <w:ind w:left="320" w:leftChars="100" w:right="320" w:rightChars="100"/>
      <w:jc w:val="center"/>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893241751"/>
      <w:docPartObj>
        <w:docPartGallery w:val="autotext"/>
      </w:docPartObj>
    </w:sdtPr>
    <w:sdtEndPr>
      <w:rPr>
        <w:rFonts w:asciiTheme="minorEastAsia" w:hAnsiTheme="minorEastAsia" w:eastAsiaTheme="minorEastAsia"/>
        <w:sz w:val="28"/>
        <w:szCs w:val="28"/>
      </w:rPr>
    </w:sdtEndPr>
    <w:sdtContent>
      <w:p>
        <w:pPr>
          <w:pStyle w:val="8"/>
          <w:ind w:left="320" w:leftChars="100" w:right="320" w:rightChars="10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05"/>
  <w:drawingGridVerticalSpacing w:val="3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NzQ5MzM5OWEzNGI0NjlmMGFmYTcwOTYyOGZiMGYifQ=="/>
  </w:docVars>
  <w:rsids>
    <w:rsidRoot w:val="00F1361C"/>
    <w:rsid w:val="000222C6"/>
    <w:rsid w:val="0002549F"/>
    <w:rsid w:val="000468DB"/>
    <w:rsid w:val="000626DD"/>
    <w:rsid w:val="0006487A"/>
    <w:rsid w:val="00065F8F"/>
    <w:rsid w:val="00070A43"/>
    <w:rsid w:val="000768F2"/>
    <w:rsid w:val="000914E1"/>
    <w:rsid w:val="0009184B"/>
    <w:rsid w:val="00094236"/>
    <w:rsid w:val="0009593C"/>
    <w:rsid w:val="0009725D"/>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526A"/>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2B92"/>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724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144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E521D"/>
    <w:rsid w:val="03D27357"/>
    <w:rsid w:val="07806A20"/>
    <w:rsid w:val="0A2032A3"/>
    <w:rsid w:val="0A4A5BF8"/>
    <w:rsid w:val="0B8A37D8"/>
    <w:rsid w:val="0C3923A8"/>
    <w:rsid w:val="0C9440F0"/>
    <w:rsid w:val="0EC00AFE"/>
    <w:rsid w:val="10C055FF"/>
    <w:rsid w:val="118107EC"/>
    <w:rsid w:val="11DD6519"/>
    <w:rsid w:val="120812B1"/>
    <w:rsid w:val="13CB5FFB"/>
    <w:rsid w:val="13E003BF"/>
    <w:rsid w:val="16153A6F"/>
    <w:rsid w:val="16BB723D"/>
    <w:rsid w:val="18015F3F"/>
    <w:rsid w:val="1BE8440E"/>
    <w:rsid w:val="1CA37BE7"/>
    <w:rsid w:val="1D155CEE"/>
    <w:rsid w:val="1F8228FF"/>
    <w:rsid w:val="20F57F95"/>
    <w:rsid w:val="21445C5D"/>
    <w:rsid w:val="23497C4E"/>
    <w:rsid w:val="240371BF"/>
    <w:rsid w:val="25C741E6"/>
    <w:rsid w:val="25CE5711"/>
    <w:rsid w:val="27165A9E"/>
    <w:rsid w:val="27842671"/>
    <w:rsid w:val="283E4F97"/>
    <w:rsid w:val="29FD04D3"/>
    <w:rsid w:val="2ABE7A3E"/>
    <w:rsid w:val="2E4F1717"/>
    <w:rsid w:val="2EB00E6C"/>
    <w:rsid w:val="2EFA178C"/>
    <w:rsid w:val="30B46D73"/>
    <w:rsid w:val="319F7F4E"/>
    <w:rsid w:val="35607B35"/>
    <w:rsid w:val="386D4C40"/>
    <w:rsid w:val="39AE70AB"/>
    <w:rsid w:val="3C0C0783"/>
    <w:rsid w:val="3E4E3FF4"/>
    <w:rsid w:val="3F9F3A96"/>
    <w:rsid w:val="42C52FD7"/>
    <w:rsid w:val="493C27E9"/>
    <w:rsid w:val="49676EDA"/>
    <w:rsid w:val="496F39ED"/>
    <w:rsid w:val="49FF41D3"/>
    <w:rsid w:val="4BE068DB"/>
    <w:rsid w:val="4BF6002B"/>
    <w:rsid w:val="4ECE2238"/>
    <w:rsid w:val="4FFF4476"/>
    <w:rsid w:val="51DB4B86"/>
    <w:rsid w:val="524B6354"/>
    <w:rsid w:val="55333C3E"/>
    <w:rsid w:val="597F6AC0"/>
    <w:rsid w:val="5BF03D68"/>
    <w:rsid w:val="5C23665E"/>
    <w:rsid w:val="5F5F3CC2"/>
    <w:rsid w:val="64CA39A1"/>
    <w:rsid w:val="666D23A3"/>
    <w:rsid w:val="6C4A05C8"/>
    <w:rsid w:val="6E1F57A6"/>
    <w:rsid w:val="710D61E2"/>
    <w:rsid w:val="72734D90"/>
    <w:rsid w:val="76506C72"/>
    <w:rsid w:val="79E7B28D"/>
    <w:rsid w:val="7E0B4DAE"/>
    <w:rsid w:val="7F9F20EE"/>
    <w:rsid w:val="7FCFC1EF"/>
    <w:rsid w:val="9E3A10E2"/>
    <w:rsid w:val="F2E1F9D4"/>
    <w:rsid w:val="F7880819"/>
    <w:rsid w:val="FBB1E6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28"/>
    <w:unhideWhenUsed/>
    <w:qFormat/>
    <w:uiPriority w:val="9"/>
    <w:pPr>
      <w:keepNext/>
      <w:keepLines/>
      <w:spacing w:before="260" w:after="260" w:line="416" w:lineRule="auto"/>
      <w:outlineLvl w:val="2"/>
    </w:pPr>
    <w:rPr>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Workbook1.xls"/><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emf"/><Relationship Id="rId17" Type="http://schemas.openxmlformats.org/officeDocument/2006/relationships/oleObject" Target="embeddings/Workbook6.xls"/><Relationship Id="rId16" Type="http://schemas.openxmlformats.org/officeDocument/2006/relationships/image" Target="media/image4.emf"/><Relationship Id="rId15" Type="http://schemas.openxmlformats.org/officeDocument/2006/relationships/oleObject" Target="embeddings/Workbook5.xls"/><Relationship Id="rId14" Type="http://schemas.openxmlformats.org/officeDocument/2006/relationships/oleObject" Target="embeddings/Workbook4.xls"/><Relationship Id="rId13" Type="http://schemas.openxmlformats.org/officeDocument/2006/relationships/image" Target="media/image3.emf"/><Relationship Id="rId12" Type="http://schemas.openxmlformats.org/officeDocument/2006/relationships/oleObject" Target="embeddings/Workbook3.xls"/><Relationship Id="rId11" Type="http://schemas.openxmlformats.org/officeDocument/2006/relationships/image" Target="media/image2.emf"/><Relationship Id="rId10" Type="http://schemas.openxmlformats.org/officeDocument/2006/relationships/oleObject" Target="embeddings/Workbook2.xls"/><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7"/>
    <customShpInfo spid="_x0000_s1035"/>
    <customShpInfo spid="_x0000_s1036"/>
    <customShpInfo spid="_x0000_s1042"/>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6412</Words>
  <Characters>6948</Characters>
  <Lines>25</Lines>
  <Paragraphs>18</Paragraphs>
  <TotalTime>1</TotalTime>
  <ScaleCrop>false</ScaleCrop>
  <LinksUpToDate>false</LinksUpToDate>
  <CharactersWithSpaces>7225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予仔</cp:lastModifiedBy>
  <cp:lastPrinted>2022-08-06T10:23:00Z</cp:lastPrinted>
  <dcterms:modified xsi:type="dcterms:W3CDTF">2025-06-24T11:26:50Z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B337E60340A306DBFA1A5A686AA451E2</vt:lpwstr>
  </property>
</Properties>
</file>