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
    <w:p/>
    <w:p/>
    <w:p>
      <w:pPr>
        <w:rPr>
          <w:rFonts w:hint="eastAsia"/>
        </w:rPr>
      </w:pPr>
    </w:p>
    <w:p/>
    <w:p>
      <w:pPr>
        <w:jc w:val="center"/>
        <w:rPr>
          <w:rFonts w:hint="eastAsia" w:ascii="方正小标宋简体" w:eastAsia="方正小标宋简体"/>
          <w:sz w:val="44"/>
          <w:szCs w:val="44"/>
        </w:rPr>
      </w:pPr>
      <w:r>
        <w:rPr>
          <w:rFonts w:hint="eastAsia" w:ascii="方正小标宋简体" w:eastAsia="方正小标宋简体"/>
          <w:sz w:val="44"/>
          <w:szCs w:val="44"/>
        </w:rPr>
        <w:t>2020年度</w:t>
      </w:r>
    </w:p>
    <w:p>
      <w:pPr>
        <w:jc w:val="center"/>
        <w:rPr>
          <w:rFonts w:hint="eastAsia" w:ascii="方正小标宋简体" w:eastAsia="方正小标宋简体"/>
          <w:sz w:val="44"/>
          <w:szCs w:val="44"/>
        </w:rPr>
      </w:pPr>
      <w:r>
        <w:rPr>
          <w:rFonts w:hint="eastAsia" w:ascii="方正小标宋简体" w:eastAsia="方正小标宋简体"/>
          <w:sz w:val="44"/>
          <w:szCs w:val="44"/>
        </w:rPr>
        <w:t>四川省遂宁市票据监管中心部门决算</w:t>
      </w:r>
    </w:p>
    <w:p/>
    <w:p>
      <w:pPr>
        <w:sectPr>
          <w:footerReference r:id="rId3" w:type="default"/>
          <w:footerReference r:id="rId4" w:type="even"/>
          <w:pgSz w:w="11906" w:h="16838"/>
          <w:pgMar w:top="1531" w:right="1418" w:bottom="1531" w:left="1418" w:header="851" w:footer="953" w:gutter="0"/>
          <w:pgNumType w:fmt="numberInDash"/>
          <w:cols w:space="720" w:num="1"/>
          <w:titlePg/>
          <w:docGrid w:type="linesAndChars" w:linePitch="626" w:charSpace="804"/>
        </w:sectPr>
      </w:pPr>
    </w:p>
    <w:p/>
    <w:p>
      <w:pPr>
        <w:jc w:val="center"/>
        <w:rPr>
          <w:rFonts w:hint="eastAsia" w:ascii="方正小标宋简体" w:eastAsia="方正小标宋简体"/>
          <w:sz w:val="44"/>
          <w:szCs w:val="44"/>
        </w:rPr>
      </w:pPr>
      <w:r>
        <w:rPr>
          <w:rFonts w:hint="eastAsia" w:ascii="方正小标宋简体" w:eastAsia="方正小标宋简体"/>
          <w:sz w:val="44"/>
          <w:szCs w:val="44"/>
        </w:rPr>
        <w:t>目录</w:t>
      </w:r>
    </w:p>
    <w:p>
      <w:pPr>
        <w:jc w:val="center"/>
        <w:rPr>
          <w:rFonts w:eastAsia="楷体_GB2312"/>
          <w:b/>
        </w:rPr>
      </w:pPr>
      <w:r>
        <w:rPr>
          <w:rFonts w:eastAsia="楷体_GB2312"/>
          <w:b/>
        </w:rPr>
        <w:t>公开时间：2021年8 月 20日</w:t>
      </w:r>
    </w:p>
    <w:p/>
    <w:p>
      <w:pPr>
        <w:pStyle w:val="8"/>
        <w:rPr>
          <w:rFonts w:hint="eastAsia"/>
        </w:rPr>
      </w:pPr>
      <w:r>
        <w:rPr>
          <w:rFonts w:ascii="宋体" w:eastAsia="宋体"/>
        </w:rPr>
        <w:fldChar w:fldCharType="begin"/>
      </w:r>
      <w:r>
        <w:rPr>
          <w:rFonts w:ascii="宋体" w:eastAsia="宋体"/>
        </w:rPr>
        <w:instrText xml:space="preserve"> TOC \o "1-3" \h \z \u </w:instrText>
      </w:r>
      <w:r>
        <w:rPr>
          <w:rFonts w:ascii="宋体" w:eastAsia="宋体"/>
        </w:rPr>
        <w:fldChar w:fldCharType="separate"/>
      </w:r>
      <w:r>
        <w:rPr>
          <w:rStyle w:val="15"/>
          <w:rFonts w:hint="eastAsia"/>
        </w:rPr>
        <w:fldChar w:fldCharType="begin"/>
      </w:r>
      <w:r>
        <w:rPr>
          <w:rStyle w:val="15"/>
          <w:rFonts w:hint="eastAsia"/>
        </w:rPr>
        <w:instrText xml:space="preserve"> </w:instrText>
      </w:r>
      <w:r>
        <w:rPr>
          <w:rFonts w:hint="eastAsia"/>
        </w:rPr>
        <w:instrText xml:space="preserve">HYPERLINK \l "_Toc80282369"</w:instrText>
      </w:r>
      <w:r>
        <w:rPr>
          <w:rStyle w:val="15"/>
          <w:rFonts w:hint="eastAsia"/>
        </w:rPr>
        <w:instrText xml:space="preserve"> </w:instrText>
      </w:r>
      <w:r>
        <w:rPr>
          <w:rStyle w:val="15"/>
          <w:rFonts w:hint="eastAsia"/>
        </w:rPr>
        <w:fldChar w:fldCharType="separate"/>
      </w:r>
      <w:r>
        <w:rPr>
          <w:rStyle w:val="15"/>
          <w:rFonts w:hint="eastAsia"/>
        </w:rPr>
        <w:t>第一部分 部门概况</w:t>
      </w:r>
      <w:r>
        <w:rPr>
          <w:rFonts w:hint="eastAsia"/>
        </w:rPr>
        <w:tab/>
      </w:r>
      <w:r>
        <w:rPr>
          <w:rFonts w:hint="eastAsia"/>
        </w:rPr>
        <w:fldChar w:fldCharType="begin"/>
      </w:r>
      <w:r>
        <w:rPr>
          <w:rFonts w:hint="eastAsia"/>
        </w:rPr>
        <w:instrText xml:space="preserve"> PAGEREF _Toc80282369 \h </w:instrText>
      </w:r>
      <w:r>
        <w:rPr>
          <w:rFonts w:hint="eastAsia"/>
        </w:rPr>
        <w:fldChar w:fldCharType="separate"/>
      </w:r>
      <w:r>
        <w:t>- 1 -</w:t>
      </w:r>
      <w:r>
        <w:rPr>
          <w:rFonts w:hint="eastAsia"/>
        </w:rPr>
        <w:fldChar w:fldCharType="end"/>
      </w:r>
      <w:r>
        <w:rPr>
          <w:rStyle w:val="15"/>
          <w:rFonts w:hint="eastAsia"/>
        </w:rPr>
        <w:fldChar w:fldCharType="end"/>
      </w:r>
    </w:p>
    <w:p>
      <w:pPr>
        <w:pStyle w:val="9"/>
        <w:tabs>
          <w:tab w:val="right" w:leader="dot" w:pos="9060"/>
        </w:tabs>
        <w:spacing w:line="600" w:lineRule="exact"/>
        <w:ind w:left="648"/>
        <w:rPr>
          <w:rFonts w:ascii="宋体" w:hAnsi="宋体" w:eastAsia="宋体"/>
          <w:sz w:val="28"/>
          <w:szCs w:val="28"/>
          <w:lang/>
        </w:rPr>
      </w:pPr>
      <w:r>
        <w:rPr>
          <w:rStyle w:val="15"/>
          <w:rFonts w:ascii="宋体" w:hAnsi="宋体" w:eastAsia="宋体"/>
          <w:sz w:val="28"/>
          <w:szCs w:val="28"/>
          <w:lang/>
        </w:rPr>
        <w:fldChar w:fldCharType="begin"/>
      </w:r>
      <w:r>
        <w:rPr>
          <w:rStyle w:val="15"/>
          <w:rFonts w:ascii="宋体" w:hAnsi="宋体" w:eastAsia="宋体"/>
          <w:sz w:val="28"/>
          <w:szCs w:val="28"/>
          <w:lang/>
        </w:rPr>
        <w:instrText xml:space="preserve"> </w:instrText>
      </w:r>
      <w:r>
        <w:rPr>
          <w:rFonts w:ascii="宋体" w:hAnsi="宋体" w:eastAsia="宋体"/>
          <w:sz w:val="28"/>
          <w:szCs w:val="28"/>
          <w:lang/>
        </w:rPr>
        <w:instrText xml:space="preserve">HYPERLINK \l "_Toc80282370"</w:instrText>
      </w:r>
      <w:r>
        <w:rPr>
          <w:rStyle w:val="15"/>
          <w:rFonts w:ascii="宋体" w:hAnsi="宋体" w:eastAsia="宋体"/>
          <w:sz w:val="28"/>
          <w:szCs w:val="28"/>
          <w:lang/>
        </w:rPr>
        <w:instrText xml:space="preserve"> </w:instrText>
      </w:r>
      <w:r>
        <w:rPr>
          <w:rStyle w:val="15"/>
          <w:rFonts w:ascii="宋体" w:hAnsi="宋体" w:eastAsia="宋体"/>
          <w:sz w:val="28"/>
          <w:szCs w:val="28"/>
          <w:lang/>
        </w:rPr>
        <w:fldChar w:fldCharType="separate"/>
      </w:r>
      <w:r>
        <w:rPr>
          <w:rStyle w:val="15"/>
          <w:rFonts w:ascii="宋体" w:hAnsi="宋体" w:eastAsia="宋体"/>
          <w:sz w:val="28"/>
          <w:szCs w:val="28"/>
          <w:lang/>
        </w:rPr>
        <w:t>一、基本职能及主要工作</w:t>
      </w:r>
      <w:r>
        <w:rPr>
          <w:rFonts w:ascii="宋体" w:hAnsi="宋体" w:eastAsia="宋体"/>
          <w:sz w:val="28"/>
          <w:szCs w:val="28"/>
          <w:lang/>
        </w:rPr>
        <w:tab/>
      </w:r>
      <w:r>
        <w:rPr>
          <w:rFonts w:ascii="宋体" w:hAnsi="宋体" w:eastAsia="宋体"/>
          <w:sz w:val="28"/>
          <w:szCs w:val="28"/>
          <w:lang/>
        </w:rPr>
        <w:fldChar w:fldCharType="begin"/>
      </w:r>
      <w:r>
        <w:rPr>
          <w:rFonts w:ascii="宋体" w:hAnsi="宋体" w:eastAsia="宋体"/>
          <w:sz w:val="28"/>
          <w:szCs w:val="28"/>
          <w:lang/>
        </w:rPr>
        <w:instrText xml:space="preserve"> PAGEREF _Toc80282370 \h </w:instrText>
      </w:r>
      <w:r>
        <w:rPr>
          <w:rFonts w:ascii="宋体" w:hAnsi="宋体" w:eastAsia="宋体"/>
          <w:sz w:val="28"/>
          <w:szCs w:val="28"/>
          <w:lang/>
        </w:rPr>
        <w:fldChar w:fldCharType="separate"/>
      </w:r>
      <w:r>
        <w:rPr>
          <w:rFonts w:ascii="宋体" w:hAnsi="宋体" w:eastAsia="宋体"/>
          <w:sz w:val="28"/>
          <w:szCs w:val="28"/>
          <w:lang/>
        </w:rPr>
        <w:t>- 1 -</w:t>
      </w:r>
      <w:r>
        <w:rPr>
          <w:rFonts w:ascii="宋体" w:hAnsi="宋体" w:eastAsia="宋体"/>
          <w:sz w:val="28"/>
          <w:szCs w:val="28"/>
          <w:lang/>
        </w:rPr>
        <w:fldChar w:fldCharType="end"/>
      </w:r>
      <w:r>
        <w:rPr>
          <w:rStyle w:val="15"/>
          <w:rFonts w:ascii="宋体" w:hAnsi="宋体" w:eastAsia="宋体"/>
          <w:sz w:val="28"/>
          <w:szCs w:val="28"/>
          <w:lang/>
        </w:rPr>
        <w:fldChar w:fldCharType="end"/>
      </w:r>
    </w:p>
    <w:p>
      <w:pPr>
        <w:pStyle w:val="9"/>
        <w:tabs>
          <w:tab w:val="right" w:leader="dot" w:pos="9060"/>
        </w:tabs>
        <w:spacing w:line="600" w:lineRule="exact"/>
        <w:ind w:left="648"/>
        <w:rPr>
          <w:rFonts w:ascii="宋体" w:hAnsi="宋体" w:eastAsia="宋体"/>
          <w:sz w:val="28"/>
          <w:szCs w:val="28"/>
          <w:lang/>
        </w:rPr>
      </w:pPr>
      <w:r>
        <w:rPr>
          <w:rStyle w:val="15"/>
          <w:rFonts w:ascii="宋体" w:hAnsi="宋体" w:eastAsia="宋体"/>
          <w:sz w:val="28"/>
          <w:szCs w:val="28"/>
          <w:lang/>
        </w:rPr>
        <w:fldChar w:fldCharType="begin"/>
      </w:r>
      <w:r>
        <w:rPr>
          <w:rStyle w:val="15"/>
          <w:rFonts w:ascii="宋体" w:hAnsi="宋体" w:eastAsia="宋体"/>
          <w:sz w:val="28"/>
          <w:szCs w:val="28"/>
          <w:lang/>
        </w:rPr>
        <w:instrText xml:space="preserve"> </w:instrText>
      </w:r>
      <w:r>
        <w:rPr>
          <w:rFonts w:ascii="宋体" w:hAnsi="宋体" w:eastAsia="宋体"/>
          <w:sz w:val="28"/>
          <w:szCs w:val="28"/>
          <w:lang/>
        </w:rPr>
        <w:instrText xml:space="preserve">HYPERLINK \l "_Toc80282371"</w:instrText>
      </w:r>
      <w:r>
        <w:rPr>
          <w:rStyle w:val="15"/>
          <w:rFonts w:ascii="宋体" w:hAnsi="宋体" w:eastAsia="宋体"/>
          <w:sz w:val="28"/>
          <w:szCs w:val="28"/>
          <w:lang/>
        </w:rPr>
        <w:instrText xml:space="preserve"> </w:instrText>
      </w:r>
      <w:r>
        <w:rPr>
          <w:rStyle w:val="15"/>
          <w:rFonts w:ascii="宋体" w:hAnsi="宋体" w:eastAsia="宋体"/>
          <w:sz w:val="28"/>
          <w:szCs w:val="28"/>
          <w:lang/>
        </w:rPr>
        <w:fldChar w:fldCharType="separate"/>
      </w:r>
      <w:r>
        <w:rPr>
          <w:rStyle w:val="15"/>
          <w:rFonts w:ascii="宋体" w:hAnsi="宋体" w:eastAsia="宋体"/>
          <w:sz w:val="28"/>
          <w:szCs w:val="28"/>
          <w:lang/>
        </w:rPr>
        <w:t>二、机构设置</w:t>
      </w:r>
      <w:r>
        <w:rPr>
          <w:rFonts w:ascii="宋体" w:hAnsi="宋体" w:eastAsia="宋体"/>
          <w:sz w:val="28"/>
          <w:szCs w:val="28"/>
          <w:lang/>
        </w:rPr>
        <w:tab/>
      </w:r>
      <w:r>
        <w:rPr>
          <w:rFonts w:ascii="宋体" w:hAnsi="宋体" w:eastAsia="宋体"/>
          <w:sz w:val="28"/>
          <w:szCs w:val="28"/>
          <w:lang/>
        </w:rPr>
        <w:fldChar w:fldCharType="begin"/>
      </w:r>
      <w:r>
        <w:rPr>
          <w:rFonts w:ascii="宋体" w:hAnsi="宋体" w:eastAsia="宋体"/>
          <w:sz w:val="28"/>
          <w:szCs w:val="28"/>
          <w:lang/>
        </w:rPr>
        <w:instrText xml:space="preserve"> PAGEREF _Toc80282371 \h </w:instrText>
      </w:r>
      <w:r>
        <w:rPr>
          <w:rFonts w:ascii="宋体" w:hAnsi="宋体" w:eastAsia="宋体"/>
          <w:sz w:val="28"/>
          <w:szCs w:val="28"/>
          <w:lang/>
        </w:rPr>
        <w:fldChar w:fldCharType="separate"/>
      </w:r>
      <w:r>
        <w:rPr>
          <w:rFonts w:ascii="宋体" w:hAnsi="宋体" w:eastAsia="宋体"/>
          <w:sz w:val="28"/>
          <w:szCs w:val="28"/>
          <w:lang/>
        </w:rPr>
        <w:t>- 2 -</w:t>
      </w:r>
      <w:r>
        <w:rPr>
          <w:rFonts w:ascii="宋体" w:hAnsi="宋体" w:eastAsia="宋体"/>
          <w:sz w:val="28"/>
          <w:szCs w:val="28"/>
          <w:lang/>
        </w:rPr>
        <w:fldChar w:fldCharType="end"/>
      </w:r>
      <w:r>
        <w:rPr>
          <w:rStyle w:val="15"/>
          <w:rFonts w:ascii="宋体" w:hAnsi="宋体" w:eastAsia="宋体"/>
          <w:sz w:val="28"/>
          <w:szCs w:val="28"/>
          <w:lang/>
        </w:rPr>
        <w:fldChar w:fldCharType="end"/>
      </w:r>
    </w:p>
    <w:p>
      <w:pPr>
        <w:pStyle w:val="8"/>
        <w:rPr>
          <w:rStyle w:val="15"/>
        </w:rPr>
      </w:pPr>
      <w:r>
        <w:rPr>
          <w:rStyle w:val="15"/>
        </w:rPr>
        <w:fldChar w:fldCharType="begin"/>
      </w:r>
      <w:r>
        <w:rPr>
          <w:rStyle w:val="15"/>
        </w:rPr>
        <w:instrText xml:space="preserve"> HYPERLINK \l "_Toc80282372" </w:instrText>
      </w:r>
      <w:r>
        <w:rPr>
          <w:rStyle w:val="15"/>
        </w:rPr>
        <w:fldChar w:fldCharType="separate"/>
      </w:r>
      <w:r>
        <w:rPr>
          <w:rStyle w:val="15"/>
        </w:rPr>
        <w:t>第二部分 2020年度部门决算情况说明</w:t>
      </w:r>
      <w:r>
        <w:rPr>
          <w:rStyle w:val="15"/>
        </w:rPr>
        <w:tab/>
      </w:r>
      <w:r>
        <w:rPr>
          <w:rStyle w:val="15"/>
        </w:rPr>
        <w:fldChar w:fldCharType="begin"/>
      </w:r>
      <w:r>
        <w:rPr>
          <w:rStyle w:val="15"/>
        </w:rPr>
        <w:instrText xml:space="preserve"> PAGEREF _Toc80282372 \h </w:instrText>
      </w:r>
      <w:r>
        <w:rPr>
          <w:rStyle w:val="15"/>
        </w:rPr>
        <w:fldChar w:fldCharType="separate"/>
      </w:r>
      <w:r>
        <w:rPr>
          <w:rStyle w:val="15"/>
        </w:rPr>
        <w:t>- 3 -</w:t>
      </w:r>
      <w:r>
        <w:rPr>
          <w:rStyle w:val="15"/>
        </w:rPr>
        <w:fldChar w:fldCharType="end"/>
      </w:r>
      <w:r>
        <w:rPr>
          <w:rStyle w:val="15"/>
        </w:rPr>
        <w:fldChar w:fldCharType="end"/>
      </w:r>
    </w:p>
    <w:p>
      <w:pPr>
        <w:pStyle w:val="9"/>
        <w:tabs>
          <w:tab w:val="right" w:leader="dot" w:pos="9060"/>
        </w:tabs>
        <w:spacing w:line="600" w:lineRule="exact"/>
        <w:ind w:left="648"/>
        <w:rPr>
          <w:rFonts w:ascii="宋体" w:hAnsi="宋体" w:eastAsia="宋体"/>
          <w:sz w:val="28"/>
          <w:szCs w:val="28"/>
          <w:lang/>
        </w:rPr>
      </w:pPr>
      <w:r>
        <w:rPr>
          <w:rStyle w:val="15"/>
          <w:rFonts w:ascii="宋体" w:hAnsi="宋体" w:eastAsia="宋体"/>
          <w:sz w:val="28"/>
          <w:szCs w:val="28"/>
          <w:lang/>
        </w:rPr>
        <w:fldChar w:fldCharType="begin"/>
      </w:r>
      <w:r>
        <w:rPr>
          <w:rStyle w:val="15"/>
          <w:rFonts w:ascii="宋体" w:hAnsi="宋体" w:eastAsia="宋体"/>
          <w:sz w:val="28"/>
          <w:szCs w:val="28"/>
          <w:lang/>
        </w:rPr>
        <w:instrText xml:space="preserve"> </w:instrText>
      </w:r>
      <w:r>
        <w:rPr>
          <w:rFonts w:ascii="宋体" w:hAnsi="宋体" w:eastAsia="宋体"/>
          <w:sz w:val="28"/>
          <w:szCs w:val="28"/>
          <w:lang/>
        </w:rPr>
        <w:instrText xml:space="preserve">HYPERLINK \l "_Toc80282373"</w:instrText>
      </w:r>
      <w:r>
        <w:rPr>
          <w:rStyle w:val="15"/>
          <w:rFonts w:ascii="宋体" w:hAnsi="宋体" w:eastAsia="宋体"/>
          <w:sz w:val="28"/>
          <w:szCs w:val="28"/>
          <w:lang/>
        </w:rPr>
        <w:instrText xml:space="preserve"> </w:instrText>
      </w:r>
      <w:r>
        <w:rPr>
          <w:rStyle w:val="15"/>
          <w:rFonts w:ascii="宋体" w:hAnsi="宋体" w:eastAsia="宋体"/>
          <w:sz w:val="28"/>
          <w:szCs w:val="28"/>
          <w:lang/>
        </w:rPr>
        <w:fldChar w:fldCharType="separate"/>
      </w:r>
      <w:r>
        <w:rPr>
          <w:rStyle w:val="15"/>
          <w:rFonts w:ascii="宋体" w:hAnsi="宋体" w:eastAsia="宋体"/>
          <w:sz w:val="28"/>
          <w:szCs w:val="28"/>
          <w:lang/>
        </w:rPr>
        <w:t>一、收入支出决算总体情况说明</w:t>
      </w:r>
      <w:r>
        <w:rPr>
          <w:rFonts w:ascii="宋体" w:hAnsi="宋体" w:eastAsia="宋体"/>
          <w:sz w:val="28"/>
          <w:szCs w:val="28"/>
          <w:lang/>
        </w:rPr>
        <w:tab/>
      </w:r>
      <w:r>
        <w:rPr>
          <w:rFonts w:ascii="宋体" w:hAnsi="宋体" w:eastAsia="宋体"/>
          <w:sz w:val="28"/>
          <w:szCs w:val="28"/>
          <w:lang/>
        </w:rPr>
        <w:fldChar w:fldCharType="begin"/>
      </w:r>
      <w:r>
        <w:rPr>
          <w:rFonts w:ascii="宋体" w:hAnsi="宋体" w:eastAsia="宋体"/>
          <w:sz w:val="28"/>
          <w:szCs w:val="28"/>
          <w:lang/>
        </w:rPr>
        <w:instrText xml:space="preserve"> PAGEREF _Toc80282373 \h </w:instrText>
      </w:r>
      <w:r>
        <w:rPr>
          <w:rFonts w:ascii="宋体" w:hAnsi="宋体" w:eastAsia="宋体"/>
          <w:sz w:val="28"/>
          <w:szCs w:val="28"/>
          <w:lang/>
        </w:rPr>
        <w:fldChar w:fldCharType="separate"/>
      </w:r>
      <w:r>
        <w:rPr>
          <w:rFonts w:ascii="宋体" w:hAnsi="宋体" w:eastAsia="宋体"/>
          <w:sz w:val="28"/>
          <w:szCs w:val="28"/>
          <w:lang/>
        </w:rPr>
        <w:t>- 3 -</w:t>
      </w:r>
      <w:r>
        <w:rPr>
          <w:rFonts w:ascii="宋体" w:hAnsi="宋体" w:eastAsia="宋体"/>
          <w:sz w:val="28"/>
          <w:szCs w:val="28"/>
          <w:lang/>
        </w:rPr>
        <w:fldChar w:fldCharType="end"/>
      </w:r>
      <w:r>
        <w:rPr>
          <w:rStyle w:val="15"/>
          <w:rFonts w:ascii="宋体" w:hAnsi="宋体" w:eastAsia="宋体"/>
          <w:sz w:val="28"/>
          <w:szCs w:val="28"/>
          <w:lang/>
        </w:rPr>
        <w:fldChar w:fldCharType="end"/>
      </w:r>
    </w:p>
    <w:p>
      <w:pPr>
        <w:pStyle w:val="9"/>
        <w:tabs>
          <w:tab w:val="right" w:leader="dot" w:pos="9060"/>
        </w:tabs>
        <w:spacing w:line="600" w:lineRule="exact"/>
        <w:ind w:left="648"/>
        <w:rPr>
          <w:rFonts w:ascii="宋体" w:hAnsi="宋体" w:eastAsia="宋体"/>
          <w:sz w:val="28"/>
          <w:szCs w:val="28"/>
          <w:lang/>
        </w:rPr>
      </w:pPr>
      <w:r>
        <w:rPr>
          <w:rStyle w:val="15"/>
          <w:rFonts w:ascii="宋体" w:hAnsi="宋体" w:eastAsia="宋体"/>
          <w:sz w:val="28"/>
          <w:szCs w:val="28"/>
          <w:lang/>
        </w:rPr>
        <w:fldChar w:fldCharType="begin"/>
      </w:r>
      <w:r>
        <w:rPr>
          <w:rStyle w:val="15"/>
          <w:rFonts w:ascii="宋体" w:hAnsi="宋体" w:eastAsia="宋体"/>
          <w:sz w:val="28"/>
          <w:szCs w:val="28"/>
          <w:lang/>
        </w:rPr>
        <w:instrText xml:space="preserve"> </w:instrText>
      </w:r>
      <w:r>
        <w:rPr>
          <w:rFonts w:ascii="宋体" w:hAnsi="宋体" w:eastAsia="宋体"/>
          <w:sz w:val="28"/>
          <w:szCs w:val="28"/>
          <w:lang/>
        </w:rPr>
        <w:instrText xml:space="preserve">HYPERLINK \l "_Toc80282374"</w:instrText>
      </w:r>
      <w:r>
        <w:rPr>
          <w:rStyle w:val="15"/>
          <w:rFonts w:ascii="宋体" w:hAnsi="宋体" w:eastAsia="宋体"/>
          <w:sz w:val="28"/>
          <w:szCs w:val="28"/>
          <w:lang/>
        </w:rPr>
        <w:instrText xml:space="preserve"> </w:instrText>
      </w:r>
      <w:r>
        <w:rPr>
          <w:rStyle w:val="15"/>
          <w:rFonts w:ascii="宋体" w:hAnsi="宋体" w:eastAsia="宋体"/>
          <w:sz w:val="28"/>
          <w:szCs w:val="28"/>
          <w:lang/>
        </w:rPr>
        <w:fldChar w:fldCharType="separate"/>
      </w:r>
      <w:r>
        <w:rPr>
          <w:rStyle w:val="15"/>
          <w:rFonts w:ascii="宋体" w:hAnsi="宋体" w:eastAsia="宋体"/>
          <w:sz w:val="28"/>
          <w:szCs w:val="28"/>
          <w:lang/>
        </w:rPr>
        <w:t>二、收入决算情况说明</w:t>
      </w:r>
      <w:r>
        <w:rPr>
          <w:rFonts w:ascii="宋体" w:hAnsi="宋体" w:eastAsia="宋体"/>
          <w:sz w:val="28"/>
          <w:szCs w:val="28"/>
          <w:lang/>
        </w:rPr>
        <w:tab/>
      </w:r>
      <w:r>
        <w:rPr>
          <w:rFonts w:ascii="宋体" w:hAnsi="宋体" w:eastAsia="宋体"/>
          <w:sz w:val="28"/>
          <w:szCs w:val="28"/>
          <w:lang/>
        </w:rPr>
        <w:fldChar w:fldCharType="begin"/>
      </w:r>
      <w:r>
        <w:rPr>
          <w:rFonts w:ascii="宋体" w:hAnsi="宋体" w:eastAsia="宋体"/>
          <w:sz w:val="28"/>
          <w:szCs w:val="28"/>
          <w:lang/>
        </w:rPr>
        <w:instrText xml:space="preserve"> PAGEREF _Toc80282374 \h </w:instrText>
      </w:r>
      <w:r>
        <w:rPr>
          <w:rFonts w:ascii="宋体" w:hAnsi="宋体" w:eastAsia="宋体"/>
          <w:sz w:val="28"/>
          <w:szCs w:val="28"/>
          <w:lang/>
        </w:rPr>
        <w:fldChar w:fldCharType="separate"/>
      </w:r>
      <w:r>
        <w:rPr>
          <w:rFonts w:ascii="宋体" w:hAnsi="宋体" w:eastAsia="宋体"/>
          <w:sz w:val="28"/>
          <w:szCs w:val="28"/>
          <w:lang/>
        </w:rPr>
        <w:t>- 3 -</w:t>
      </w:r>
      <w:r>
        <w:rPr>
          <w:rFonts w:ascii="宋体" w:hAnsi="宋体" w:eastAsia="宋体"/>
          <w:sz w:val="28"/>
          <w:szCs w:val="28"/>
          <w:lang/>
        </w:rPr>
        <w:fldChar w:fldCharType="end"/>
      </w:r>
      <w:r>
        <w:rPr>
          <w:rStyle w:val="15"/>
          <w:rFonts w:ascii="宋体" w:hAnsi="宋体" w:eastAsia="宋体"/>
          <w:sz w:val="28"/>
          <w:szCs w:val="28"/>
          <w:lang/>
        </w:rPr>
        <w:fldChar w:fldCharType="end"/>
      </w:r>
    </w:p>
    <w:p>
      <w:pPr>
        <w:pStyle w:val="9"/>
        <w:tabs>
          <w:tab w:val="right" w:leader="dot" w:pos="9060"/>
        </w:tabs>
        <w:spacing w:line="600" w:lineRule="exact"/>
        <w:ind w:left="648"/>
        <w:rPr>
          <w:rFonts w:ascii="宋体" w:hAnsi="宋体" w:eastAsia="宋体"/>
          <w:sz w:val="28"/>
          <w:szCs w:val="28"/>
          <w:lang/>
        </w:rPr>
      </w:pPr>
      <w:r>
        <w:rPr>
          <w:rStyle w:val="15"/>
          <w:rFonts w:ascii="宋体" w:hAnsi="宋体" w:eastAsia="宋体"/>
          <w:sz w:val="28"/>
          <w:szCs w:val="28"/>
          <w:lang/>
        </w:rPr>
        <w:fldChar w:fldCharType="begin"/>
      </w:r>
      <w:r>
        <w:rPr>
          <w:rStyle w:val="15"/>
          <w:rFonts w:ascii="宋体" w:hAnsi="宋体" w:eastAsia="宋体"/>
          <w:sz w:val="28"/>
          <w:szCs w:val="28"/>
          <w:lang/>
        </w:rPr>
        <w:instrText xml:space="preserve"> </w:instrText>
      </w:r>
      <w:r>
        <w:rPr>
          <w:rFonts w:ascii="宋体" w:hAnsi="宋体" w:eastAsia="宋体"/>
          <w:sz w:val="28"/>
          <w:szCs w:val="28"/>
          <w:lang/>
        </w:rPr>
        <w:instrText xml:space="preserve">HYPERLINK \l "_Toc80282375"</w:instrText>
      </w:r>
      <w:r>
        <w:rPr>
          <w:rStyle w:val="15"/>
          <w:rFonts w:ascii="宋体" w:hAnsi="宋体" w:eastAsia="宋体"/>
          <w:sz w:val="28"/>
          <w:szCs w:val="28"/>
          <w:lang/>
        </w:rPr>
        <w:instrText xml:space="preserve"> </w:instrText>
      </w:r>
      <w:r>
        <w:rPr>
          <w:rStyle w:val="15"/>
          <w:rFonts w:ascii="宋体" w:hAnsi="宋体" w:eastAsia="宋体"/>
          <w:sz w:val="28"/>
          <w:szCs w:val="28"/>
          <w:lang/>
        </w:rPr>
        <w:fldChar w:fldCharType="separate"/>
      </w:r>
      <w:r>
        <w:rPr>
          <w:rStyle w:val="15"/>
          <w:rFonts w:ascii="宋体" w:hAnsi="宋体" w:eastAsia="宋体"/>
          <w:sz w:val="28"/>
          <w:szCs w:val="28"/>
          <w:lang/>
        </w:rPr>
        <w:t>三、支出决算情况说明</w:t>
      </w:r>
      <w:r>
        <w:rPr>
          <w:rFonts w:ascii="宋体" w:hAnsi="宋体" w:eastAsia="宋体"/>
          <w:sz w:val="28"/>
          <w:szCs w:val="28"/>
          <w:lang/>
        </w:rPr>
        <w:tab/>
      </w:r>
      <w:r>
        <w:rPr>
          <w:rFonts w:ascii="宋体" w:hAnsi="宋体" w:eastAsia="宋体"/>
          <w:sz w:val="28"/>
          <w:szCs w:val="28"/>
          <w:lang/>
        </w:rPr>
        <w:fldChar w:fldCharType="begin"/>
      </w:r>
      <w:r>
        <w:rPr>
          <w:rFonts w:ascii="宋体" w:hAnsi="宋体" w:eastAsia="宋体"/>
          <w:sz w:val="28"/>
          <w:szCs w:val="28"/>
          <w:lang/>
        </w:rPr>
        <w:instrText xml:space="preserve"> PAGEREF _Toc80282375 \h </w:instrText>
      </w:r>
      <w:r>
        <w:rPr>
          <w:rFonts w:ascii="宋体" w:hAnsi="宋体" w:eastAsia="宋体"/>
          <w:sz w:val="28"/>
          <w:szCs w:val="28"/>
          <w:lang/>
        </w:rPr>
        <w:fldChar w:fldCharType="separate"/>
      </w:r>
      <w:r>
        <w:rPr>
          <w:rFonts w:ascii="宋体" w:hAnsi="宋体" w:eastAsia="宋体"/>
          <w:sz w:val="28"/>
          <w:szCs w:val="28"/>
          <w:lang/>
        </w:rPr>
        <w:t>- 4 -</w:t>
      </w:r>
      <w:r>
        <w:rPr>
          <w:rFonts w:ascii="宋体" w:hAnsi="宋体" w:eastAsia="宋体"/>
          <w:sz w:val="28"/>
          <w:szCs w:val="28"/>
          <w:lang/>
        </w:rPr>
        <w:fldChar w:fldCharType="end"/>
      </w:r>
      <w:r>
        <w:rPr>
          <w:rStyle w:val="15"/>
          <w:rFonts w:ascii="宋体" w:hAnsi="宋体" w:eastAsia="宋体"/>
          <w:sz w:val="28"/>
          <w:szCs w:val="28"/>
          <w:lang/>
        </w:rPr>
        <w:fldChar w:fldCharType="end"/>
      </w:r>
    </w:p>
    <w:p>
      <w:pPr>
        <w:pStyle w:val="9"/>
        <w:tabs>
          <w:tab w:val="right" w:leader="dot" w:pos="9060"/>
        </w:tabs>
        <w:spacing w:line="600" w:lineRule="exact"/>
        <w:ind w:left="648"/>
        <w:rPr>
          <w:rFonts w:ascii="宋体" w:hAnsi="宋体" w:eastAsia="宋体"/>
          <w:sz w:val="28"/>
          <w:szCs w:val="28"/>
          <w:lang/>
        </w:rPr>
      </w:pPr>
      <w:r>
        <w:rPr>
          <w:rStyle w:val="15"/>
          <w:rFonts w:ascii="宋体" w:hAnsi="宋体" w:eastAsia="宋体"/>
          <w:sz w:val="28"/>
          <w:szCs w:val="28"/>
          <w:lang/>
        </w:rPr>
        <w:fldChar w:fldCharType="begin"/>
      </w:r>
      <w:r>
        <w:rPr>
          <w:rStyle w:val="15"/>
          <w:rFonts w:ascii="宋体" w:hAnsi="宋体" w:eastAsia="宋体"/>
          <w:sz w:val="28"/>
          <w:szCs w:val="28"/>
          <w:lang/>
        </w:rPr>
        <w:instrText xml:space="preserve"> </w:instrText>
      </w:r>
      <w:r>
        <w:rPr>
          <w:rFonts w:ascii="宋体" w:hAnsi="宋体" w:eastAsia="宋体"/>
          <w:sz w:val="28"/>
          <w:szCs w:val="28"/>
          <w:lang/>
        </w:rPr>
        <w:instrText xml:space="preserve">HYPERLINK \l "_Toc80282376"</w:instrText>
      </w:r>
      <w:r>
        <w:rPr>
          <w:rStyle w:val="15"/>
          <w:rFonts w:ascii="宋体" w:hAnsi="宋体" w:eastAsia="宋体"/>
          <w:sz w:val="28"/>
          <w:szCs w:val="28"/>
          <w:lang/>
        </w:rPr>
        <w:instrText xml:space="preserve"> </w:instrText>
      </w:r>
      <w:r>
        <w:rPr>
          <w:rStyle w:val="15"/>
          <w:rFonts w:ascii="宋体" w:hAnsi="宋体" w:eastAsia="宋体"/>
          <w:sz w:val="28"/>
          <w:szCs w:val="28"/>
          <w:lang/>
        </w:rPr>
        <w:fldChar w:fldCharType="separate"/>
      </w:r>
      <w:r>
        <w:rPr>
          <w:rStyle w:val="15"/>
          <w:rFonts w:ascii="宋体" w:hAnsi="宋体" w:eastAsia="宋体"/>
          <w:sz w:val="28"/>
          <w:szCs w:val="28"/>
          <w:lang/>
        </w:rPr>
        <w:t>四、财政拨款收入支出决算总体情况说明</w:t>
      </w:r>
      <w:r>
        <w:rPr>
          <w:rFonts w:ascii="宋体" w:hAnsi="宋体" w:eastAsia="宋体"/>
          <w:sz w:val="28"/>
          <w:szCs w:val="28"/>
          <w:lang/>
        </w:rPr>
        <w:tab/>
      </w:r>
      <w:r>
        <w:rPr>
          <w:rFonts w:ascii="宋体" w:hAnsi="宋体" w:eastAsia="宋体"/>
          <w:sz w:val="28"/>
          <w:szCs w:val="28"/>
          <w:lang/>
        </w:rPr>
        <w:fldChar w:fldCharType="begin"/>
      </w:r>
      <w:r>
        <w:rPr>
          <w:rFonts w:ascii="宋体" w:hAnsi="宋体" w:eastAsia="宋体"/>
          <w:sz w:val="28"/>
          <w:szCs w:val="28"/>
          <w:lang/>
        </w:rPr>
        <w:instrText xml:space="preserve"> PAGEREF _Toc80282376 \h </w:instrText>
      </w:r>
      <w:r>
        <w:rPr>
          <w:rFonts w:ascii="宋体" w:hAnsi="宋体" w:eastAsia="宋体"/>
          <w:sz w:val="28"/>
          <w:szCs w:val="28"/>
          <w:lang/>
        </w:rPr>
        <w:fldChar w:fldCharType="separate"/>
      </w:r>
      <w:r>
        <w:rPr>
          <w:rFonts w:ascii="宋体" w:hAnsi="宋体" w:eastAsia="宋体"/>
          <w:sz w:val="28"/>
          <w:szCs w:val="28"/>
          <w:lang/>
        </w:rPr>
        <w:t>- 5 -</w:t>
      </w:r>
      <w:r>
        <w:rPr>
          <w:rFonts w:ascii="宋体" w:hAnsi="宋体" w:eastAsia="宋体"/>
          <w:sz w:val="28"/>
          <w:szCs w:val="28"/>
          <w:lang/>
        </w:rPr>
        <w:fldChar w:fldCharType="end"/>
      </w:r>
      <w:r>
        <w:rPr>
          <w:rStyle w:val="15"/>
          <w:rFonts w:ascii="宋体" w:hAnsi="宋体" w:eastAsia="宋体"/>
          <w:sz w:val="28"/>
          <w:szCs w:val="28"/>
          <w:lang/>
        </w:rPr>
        <w:fldChar w:fldCharType="end"/>
      </w:r>
    </w:p>
    <w:p>
      <w:pPr>
        <w:pStyle w:val="9"/>
        <w:tabs>
          <w:tab w:val="right" w:leader="dot" w:pos="9060"/>
        </w:tabs>
        <w:spacing w:line="600" w:lineRule="exact"/>
        <w:ind w:left="648"/>
        <w:rPr>
          <w:rFonts w:ascii="宋体" w:hAnsi="宋体" w:eastAsia="宋体"/>
          <w:sz w:val="28"/>
          <w:szCs w:val="28"/>
          <w:lang/>
        </w:rPr>
      </w:pPr>
      <w:r>
        <w:rPr>
          <w:rStyle w:val="15"/>
          <w:rFonts w:ascii="宋体" w:hAnsi="宋体" w:eastAsia="宋体"/>
          <w:sz w:val="28"/>
          <w:szCs w:val="28"/>
          <w:lang/>
        </w:rPr>
        <w:fldChar w:fldCharType="begin"/>
      </w:r>
      <w:r>
        <w:rPr>
          <w:rStyle w:val="15"/>
          <w:rFonts w:ascii="宋体" w:hAnsi="宋体" w:eastAsia="宋体"/>
          <w:sz w:val="28"/>
          <w:szCs w:val="28"/>
          <w:lang/>
        </w:rPr>
        <w:instrText xml:space="preserve"> </w:instrText>
      </w:r>
      <w:r>
        <w:rPr>
          <w:rFonts w:ascii="宋体" w:hAnsi="宋体" w:eastAsia="宋体"/>
          <w:sz w:val="28"/>
          <w:szCs w:val="28"/>
          <w:lang/>
        </w:rPr>
        <w:instrText xml:space="preserve">HYPERLINK \l "_Toc80282377"</w:instrText>
      </w:r>
      <w:r>
        <w:rPr>
          <w:rStyle w:val="15"/>
          <w:rFonts w:ascii="宋体" w:hAnsi="宋体" w:eastAsia="宋体"/>
          <w:sz w:val="28"/>
          <w:szCs w:val="28"/>
          <w:lang/>
        </w:rPr>
        <w:instrText xml:space="preserve"> </w:instrText>
      </w:r>
      <w:r>
        <w:rPr>
          <w:rStyle w:val="15"/>
          <w:rFonts w:ascii="宋体" w:hAnsi="宋体" w:eastAsia="宋体"/>
          <w:sz w:val="28"/>
          <w:szCs w:val="28"/>
          <w:lang/>
        </w:rPr>
        <w:fldChar w:fldCharType="separate"/>
      </w:r>
      <w:r>
        <w:rPr>
          <w:rStyle w:val="15"/>
          <w:rFonts w:ascii="宋体" w:hAnsi="宋体" w:eastAsia="宋体"/>
          <w:sz w:val="28"/>
          <w:szCs w:val="28"/>
          <w:lang/>
        </w:rPr>
        <w:t>五、一般公共预算财政拨款支出决算情况说明</w:t>
      </w:r>
      <w:r>
        <w:rPr>
          <w:rFonts w:ascii="宋体" w:hAnsi="宋体" w:eastAsia="宋体"/>
          <w:sz w:val="28"/>
          <w:szCs w:val="28"/>
          <w:lang/>
        </w:rPr>
        <w:tab/>
      </w:r>
      <w:r>
        <w:rPr>
          <w:rFonts w:ascii="宋体" w:hAnsi="宋体" w:eastAsia="宋体"/>
          <w:sz w:val="28"/>
          <w:szCs w:val="28"/>
          <w:lang/>
        </w:rPr>
        <w:fldChar w:fldCharType="begin"/>
      </w:r>
      <w:r>
        <w:rPr>
          <w:rFonts w:ascii="宋体" w:hAnsi="宋体" w:eastAsia="宋体"/>
          <w:sz w:val="28"/>
          <w:szCs w:val="28"/>
          <w:lang/>
        </w:rPr>
        <w:instrText xml:space="preserve"> PAGEREF _Toc80282377 \h </w:instrText>
      </w:r>
      <w:r>
        <w:rPr>
          <w:rFonts w:ascii="宋体" w:hAnsi="宋体" w:eastAsia="宋体"/>
          <w:sz w:val="28"/>
          <w:szCs w:val="28"/>
          <w:lang/>
        </w:rPr>
        <w:fldChar w:fldCharType="separate"/>
      </w:r>
      <w:r>
        <w:rPr>
          <w:rFonts w:ascii="宋体" w:hAnsi="宋体" w:eastAsia="宋体"/>
          <w:sz w:val="28"/>
          <w:szCs w:val="28"/>
          <w:lang/>
        </w:rPr>
        <w:t>- 5 -</w:t>
      </w:r>
      <w:r>
        <w:rPr>
          <w:rFonts w:ascii="宋体" w:hAnsi="宋体" w:eastAsia="宋体"/>
          <w:sz w:val="28"/>
          <w:szCs w:val="28"/>
          <w:lang/>
        </w:rPr>
        <w:fldChar w:fldCharType="end"/>
      </w:r>
      <w:r>
        <w:rPr>
          <w:rStyle w:val="15"/>
          <w:rFonts w:ascii="宋体" w:hAnsi="宋体" w:eastAsia="宋体"/>
          <w:sz w:val="28"/>
          <w:szCs w:val="28"/>
          <w:lang/>
        </w:rPr>
        <w:fldChar w:fldCharType="end"/>
      </w:r>
    </w:p>
    <w:p>
      <w:pPr>
        <w:pStyle w:val="9"/>
        <w:tabs>
          <w:tab w:val="right" w:leader="dot" w:pos="9060"/>
        </w:tabs>
        <w:spacing w:line="600" w:lineRule="exact"/>
        <w:ind w:left="648"/>
        <w:rPr>
          <w:rFonts w:ascii="宋体" w:hAnsi="宋体" w:eastAsia="宋体"/>
          <w:sz w:val="28"/>
          <w:szCs w:val="28"/>
          <w:lang/>
        </w:rPr>
      </w:pPr>
      <w:r>
        <w:rPr>
          <w:rStyle w:val="15"/>
          <w:rFonts w:ascii="宋体" w:hAnsi="宋体" w:eastAsia="宋体"/>
          <w:sz w:val="28"/>
          <w:szCs w:val="28"/>
          <w:lang/>
        </w:rPr>
        <w:fldChar w:fldCharType="begin"/>
      </w:r>
      <w:r>
        <w:rPr>
          <w:rStyle w:val="15"/>
          <w:rFonts w:ascii="宋体" w:hAnsi="宋体" w:eastAsia="宋体"/>
          <w:sz w:val="28"/>
          <w:szCs w:val="28"/>
          <w:lang/>
        </w:rPr>
        <w:instrText xml:space="preserve"> </w:instrText>
      </w:r>
      <w:r>
        <w:rPr>
          <w:rFonts w:ascii="宋体" w:hAnsi="宋体" w:eastAsia="宋体"/>
          <w:sz w:val="28"/>
          <w:szCs w:val="28"/>
          <w:lang/>
        </w:rPr>
        <w:instrText xml:space="preserve">HYPERLINK \l "_Toc80282378"</w:instrText>
      </w:r>
      <w:r>
        <w:rPr>
          <w:rStyle w:val="15"/>
          <w:rFonts w:ascii="宋体" w:hAnsi="宋体" w:eastAsia="宋体"/>
          <w:sz w:val="28"/>
          <w:szCs w:val="28"/>
          <w:lang/>
        </w:rPr>
        <w:instrText xml:space="preserve"> </w:instrText>
      </w:r>
      <w:r>
        <w:rPr>
          <w:rStyle w:val="15"/>
          <w:rFonts w:ascii="宋体" w:hAnsi="宋体" w:eastAsia="宋体"/>
          <w:sz w:val="28"/>
          <w:szCs w:val="28"/>
          <w:lang/>
        </w:rPr>
        <w:fldChar w:fldCharType="separate"/>
      </w:r>
      <w:r>
        <w:rPr>
          <w:rStyle w:val="15"/>
          <w:rFonts w:ascii="宋体" w:hAnsi="宋体" w:eastAsia="宋体"/>
          <w:sz w:val="28"/>
          <w:szCs w:val="28"/>
          <w:lang/>
        </w:rPr>
        <w:t>六、一般公共预算财政拨款基本支出决算情况说明</w:t>
      </w:r>
      <w:r>
        <w:rPr>
          <w:rFonts w:ascii="宋体" w:hAnsi="宋体" w:eastAsia="宋体"/>
          <w:sz w:val="28"/>
          <w:szCs w:val="28"/>
          <w:lang/>
        </w:rPr>
        <w:tab/>
      </w:r>
      <w:r>
        <w:rPr>
          <w:rFonts w:ascii="宋体" w:hAnsi="宋体" w:eastAsia="宋体"/>
          <w:sz w:val="28"/>
          <w:szCs w:val="28"/>
          <w:lang/>
        </w:rPr>
        <w:fldChar w:fldCharType="begin"/>
      </w:r>
      <w:r>
        <w:rPr>
          <w:rFonts w:ascii="宋体" w:hAnsi="宋体" w:eastAsia="宋体"/>
          <w:sz w:val="28"/>
          <w:szCs w:val="28"/>
          <w:lang/>
        </w:rPr>
        <w:instrText xml:space="preserve"> PAGEREF _Toc80282378 \h </w:instrText>
      </w:r>
      <w:r>
        <w:rPr>
          <w:rFonts w:ascii="宋体" w:hAnsi="宋体" w:eastAsia="宋体"/>
          <w:sz w:val="28"/>
          <w:szCs w:val="28"/>
          <w:lang/>
        </w:rPr>
        <w:fldChar w:fldCharType="separate"/>
      </w:r>
      <w:r>
        <w:rPr>
          <w:rFonts w:ascii="宋体" w:hAnsi="宋体" w:eastAsia="宋体"/>
          <w:sz w:val="28"/>
          <w:szCs w:val="28"/>
          <w:lang/>
        </w:rPr>
        <w:t>- 8 -</w:t>
      </w:r>
      <w:r>
        <w:rPr>
          <w:rFonts w:ascii="宋体" w:hAnsi="宋体" w:eastAsia="宋体"/>
          <w:sz w:val="28"/>
          <w:szCs w:val="28"/>
          <w:lang/>
        </w:rPr>
        <w:fldChar w:fldCharType="end"/>
      </w:r>
      <w:r>
        <w:rPr>
          <w:rStyle w:val="15"/>
          <w:rFonts w:ascii="宋体" w:hAnsi="宋体" w:eastAsia="宋体"/>
          <w:sz w:val="28"/>
          <w:szCs w:val="28"/>
          <w:lang/>
        </w:rPr>
        <w:fldChar w:fldCharType="end"/>
      </w:r>
    </w:p>
    <w:p>
      <w:pPr>
        <w:pStyle w:val="9"/>
        <w:tabs>
          <w:tab w:val="right" w:leader="dot" w:pos="9060"/>
        </w:tabs>
        <w:spacing w:line="600" w:lineRule="exact"/>
        <w:ind w:left="648"/>
        <w:rPr>
          <w:rFonts w:ascii="宋体" w:hAnsi="宋体" w:eastAsia="宋体"/>
          <w:sz w:val="28"/>
          <w:szCs w:val="28"/>
          <w:lang/>
        </w:rPr>
      </w:pPr>
      <w:r>
        <w:rPr>
          <w:rStyle w:val="15"/>
          <w:rFonts w:ascii="宋体" w:hAnsi="宋体" w:eastAsia="宋体"/>
          <w:sz w:val="28"/>
          <w:szCs w:val="28"/>
          <w:lang/>
        </w:rPr>
        <w:fldChar w:fldCharType="begin"/>
      </w:r>
      <w:r>
        <w:rPr>
          <w:rStyle w:val="15"/>
          <w:rFonts w:ascii="宋体" w:hAnsi="宋体" w:eastAsia="宋体"/>
          <w:sz w:val="28"/>
          <w:szCs w:val="28"/>
          <w:lang/>
        </w:rPr>
        <w:instrText xml:space="preserve"> </w:instrText>
      </w:r>
      <w:r>
        <w:rPr>
          <w:rFonts w:ascii="宋体" w:hAnsi="宋体" w:eastAsia="宋体"/>
          <w:sz w:val="28"/>
          <w:szCs w:val="28"/>
          <w:lang/>
        </w:rPr>
        <w:instrText xml:space="preserve">HYPERLINK \l "_Toc80282379"</w:instrText>
      </w:r>
      <w:r>
        <w:rPr>
          <w:rStyle w:val="15"/>
          <w:rFonts w:ascii="宋体" w:hAnsi="宋体" w:eastAsia="宋体"/>
          <w:sz w:val="28"/>
          <w:szCs w:val="28"/>
          <w:lang/>
        </w:rPr>
        <w:instrText xml:space="preserve"> </w:instrText>
      </w:r>
      <w:r>
        <w:rPr>
          <w:rStyle w:val="15"/>
          <w:rFonts w:ascii="宋体" w:hAnsi="宋体" w:eastAsia="宋体"/>
          <w:sz w:val="28"/>
          <w:szCs w:val="28"/>
          <w:lang/>
        </w:rPr>
        <w:fldChar w:fldCharType="separate"/>
      </w:r>
      <w:r>
        <w:rPr>
          <w:rStyle w:val="15"/>
          <w:rFonts w:ascii="宋体" w:hAnsi="宋体" w:eastAsia="宋体"/>
          <w:sz w:val="28"/>
          <w:szCs w:val="28"/>
          <w:lang/>
        </w:rPr>
        <w:t>七、“三公”经费财政拨款支出决算情况说明</w:t>
      </w:r>
      <w:r>
        <w:rPr>
          <w:rFonts w:ascii="宋体" w:hAnsi="宋体" w:eastAsia="宋体"/>
          <w:sz w:val="28"/>
          <w:szCs w:val="28"/>
          <w:lang/>
        </w:rPr>
        <w:tab/>
      </w:r>
      <w:r>
        <w:rPr>
          <w:rFonts w:ascii="宋体" w:hAnsi="宋体" w:eastAsia="宋体"/>
          <w:sz w:val="28"/>
          <w:szCs w:val="28"/>
          <w:lang/>
        </w:rPr>
        <w:fldChar w:fldCharType="begin"/>
      </w:r>
      <w:r>
        <w:rPr>
          <w:rFonts w:ascii="宋体" w:hAnsi="宋体" w:eastAsia="宋体"/>
          <w:sz w:val="28"/>
          <w:szCs w:val="28"/>
          <w:lang/>
        </w:rPr>
        <w:instrText xml:space="preserve"> PAGEREF _Toc80282379 \h </w:instrText>
      </w:r>
      <w:r>
        <w:rPr>
          <w:rFonts w:ascii="宋体" w:hAnsi="宋体" w:eastAsia="宋体"/>
          <w:sz w:val="28"/>
          <w:szCs w:val="28"/>
          <w:lang/>
        </w:rPr>
        <w:fldChar w:fldCharType="separate"/>
      </w:r>
      <w:r>
        <w:rPr>
          <w:rFonts w:ascii="宋体" w:hAnsi="宋体" w:eastAsia="宋体"/>
          <w:sz w:val="28"/>
          <w:szCs w:val="28"/>
          <w:lang/>
        </w:rPr>
        <w:t>- 8 -</w:t>
      </w:r>
      <w:r>
        <w:rPr>
          <w:rFonts w:ascii="宋体" w:hAnsi="宋体" w:eastAsia="宋体"/>
          <w:sz w:val="28"/>
          <w:szCs w:val="28"/>
          <w:lang/>
        </w:rPr>
        <w:fldChar w:fldCharType="end"/>
      </w:r>
      <w:r>
        <w:rPr>
          <w:rStyle w:val="15"/>
          <w:rFonts w:ascii="宋体" w:hAnsi="宋体" w:eastAsia="宋体"/>
          <w:sz w:val="28"/>
          <w:szCs w:val="28"/>
          <w:lang/>
        </w:rPr>
        <w:fldChar w:fldCharType="end"/>
      </w:r>
    </w:p>
    <w:p>
      <w:pPr>
        <w:pStyle w:val="9"/>
        <w:tabs>
          <w:tab w:val="right" w:leader="dot" w:pos="9060"/>
        </w:tabs>
        <w:spacing w:line="600" w:lineRule="exact"/>
        <w:ind w:left="648"/>
        <w:rPr>
          <w:rFonts w:ascii="宋体" w:hAnsi="宋体" w:eastAsia="宋体"/>
          <w:sz w:val="28"/>
          <w:szCs w:val="28"/>
          <w:lang/>
        </w:rPr>
      </w:pPr>
      <w:r>
        <w:rPr>
          <w:rStyle w:val="15"/>
          <w:rFonts w:ascii="宋体" w:hAnsi="宋体" w:eastAsia="宋体"/>
          <w:sz w:val="28"/>
          <w:szCs w:val="28"/>
          <w:lang/>
        </w:rPr>
        <w:fldChar w:fldCharType="begin"/>
      </w:r>
      <w:r>
        <w:rPr>
          <w:rStyle w:val="15"/>
          <w:rFonts w:ascii="宋体" w:hAnsi="宋体" w:eastAsia="宋体"/>
          <w:sz w:val="28"/>
          <w:szCs w:val="28"/>
          <w:lang/>
        </w:rPr>
        <w:instrText xml:space="preserve"> </w:instrText>
      </w:r>
      <w:r>
        <w:rPr>
          <w:rFonts w:ascii="宋体" w:hAnsi="宋体" w:eastAsia="宋体"/>
          <w:sz w:val="28"/>
          <w:szCs w:val="28"/>
          <w:lang/>
        </w:rPr>
        <w:instrText xml:space="preserve">HYPERLINK \l "_Toc80282380"</w:instrText>
      </w:r>
      <w:r>
        <w:rPr>
          <w:rStyle w:val="15"/>
          <w:rFonts w:ascii="宋体" w:hAnsi="宋体" w:eastAsia="宋体"/>
          <w:sz w:val="28"/>
          <w:szCs w:val="28"/>
          <w:lang/>
        </w:rPr>
        <w:instrText xml:space="preserve"> </w:instrText>
      </w:r>
      <w:r>
        <w:rPr>
          <w:rStyle w:val="15"/>
          <w:rFonts w:ascii="宋体" w:hAnsi="宋体" w:eastAsia="宋体"/>
          <w:sz w:val="28"/>
          <w:szCs w:val="28"/>
          <w:lang/>
        </w:rPr>
        <w:fldChar w:fldCharType="separate"/>
      </w:r>
      <w:r>
        <w:rPr>
          <w:rStyle w:val="15"/>
          <w:rFonts w:ascii="宋体" w:hAnsi="宋体" w:eastAsia="宋体"/>
          <w:sz w:val="28"/>
          <w:szCs w:val="28"/>
          <w:lang/>
        </w:rPr>
        <w:t>八、政府性基金预算支出决算情况说明</w:t>
      </w:r>
      <w:r>
        <w:rPr>
          <w:rFonts w:ascii="宋体" w:hAnsi="宋体" w:eastAsia="宋体"/>
          <w:sz w:val="28"/>
          <w:szCs w:val="28"/>
          <w:lang/>
        </w:rPr>
        <w:tab/>
      </w:r>
      <w:r>
        <w:rPr>
          <w:rFonts w:ascii="宋体" w:hAnsi="宋体" w:eastAsia="宋体"/>
          <w:sz w:val="28"/>
          <w:szCs w:val="28"/>
          <w:lang/>
        </w:rPr>
        <w:fldChar w:fldCharType="begin"/>
      </w:r>
      <w:r>
        <w:rPr>
          <w:rFonts w:ascii="宋体" w:hAnsi="宋体" w:eastAsia="宋体"/>
          <w:sz w:val="28"/>
          <w:szCs w:val="28"/>
          <w:lang/>
        </w:rPr>
        <w:instrText xml:space="preserve"> PAGEREF _Toc80282380 \h </w:instrText>
      </w:r>
      <w:r>
        <w:rPr>
          <w:rFonts w:ascii="宋体" w:hAnsi="宋体" w:eastAsia="宋体"/>
          <w:sz w:val="28"/>
          <w:szCs w:val="28"/>
          <w:lang/>
        </w:rPr>
        <w:fldChar w:fldCharType="separate"/>
      </w:r>
      <w:r>
        <w:rPr>
          <w:rFonts w:ascii="宋体" w:hAnsi="宋体" w:eastAsia="宋体"/>
          <w:sz w:val="28"/>
          <w:szCs w:val="28"/>
          <w:lang/>
        </w:rPr>
        <w:t>- 9 -</w:t>
      </w:r>
      <w:r>
        <w:rPr>
          <w:rFonts w:ascii="宋体" w:hAnsi="宋体" w:eastAsia="宋体"/>
          <w:sz w:val="28"/>
          <w:szCs w:val="28"/>
          <w:lang/>
        </w:rPr>
        <w:fldChar w:fldCharType="end"/>
      </w:r>
      <w:r>
        <w:rPr>
          <w:rStyle w:val="15"/>
          <w:rFonts w:ascii="宋体" w:hAnsi="宋体" w:eastAsia="宋体"/>
          <w:sz w:val="28"/>
          <w:szCs w:val="28"/>
          <w:lang/>
        </w:rPr>
        <w:fldChar w:fldCharType="end"/>
      </w:r>
    </w:p>
    <w:p>
      <w:pPr>
        <w:pStyle w:val="9"/>
        <w:tabs>
          <w:tab w:val="right" w:leader="dot" w:pos="9060"/>
        </w:tabs>
        <w:spacing w:line="600" w:lineRule="exact"/>
        <w:ind w:left="648"/>
        <w:rPr>
          <w:rFonts w:ascii="宋体" w:hAnsi="宋体" w:eastAsia="宋体"/>
          <w:sz w:val="28"/>
          <w:szCs w:val="28"/>
          <w:lang/>
        </w:rPr>
      </w:pPr>
      <w:r>
        <w:rPr>
          <w:rStyle w:val="15"/>
          <w:rFonts w:ascii="宋体" w:hAnsi="宋体" w:eastAsia="宋体"/>
          <w:sz w:val="28"/>
          <w:szCs w:val="28"/>
          <w:lang/>
        </w:rPr>
        <w:fldChar w:fldCharType="begin"/>
      </w:r>
      <w:r>
        <w:rPr>
          <w:rStyle w:val="15"/>
          <w:rFonts w:ascii="宋体" w:hAnsi="宋体" w:eastAsia="宋体"/>
          <w:sz w:val="28"/>
          <w:szCs w:val="28"/>
          <w:lang/>
        </w:rPr>
        <w:instrText xml:space="preserve"> </w:instrText>
      </w:r>
      <w:r>
        <w:rPr>
          <w:rFonts w:ascii="宋体" w:hAnsi="宋体" w:eastAsia="宋体"/>
          <w:sz w:val="28"/>
          <w:szCs w:val="28"/>
          <w:lang/>
        </w:rPr>
        <w:instrText xml:space="preserve">HYPERLINK \l "_Toc80282381"</w:instrText>
      </w:r>
      <w:r>
        <w:rPr>
          <w:rStyle w:val="15"/>
          <w:rFonts w:ascii="宋体" w:hAnsi="宋体" w:eastAsia="宋体"/>
          <w:sz w:val="28"/>
          <w:szCs w:val="28"/>
          <w:lang/>
        </w:rPr>
        <w:instrText xml:space="preserve"> </w:instrText>
      </w:r>
      <w:r>
        <w:rPr>
          <w:rStyle w:val="15"/>
          <w:rFonts w:ascii="宋体" w:hAnsi="宋体" w:eastAsia="宋体"/>
          <w:sz w:val="28"/>
          <w:szCs w:val="28"/>
          <w:lang/>
        </w:rPr>
        <w:fldChar w:fldCharType="separate"/>
      </w:r>
      <w:r>
        <w:rPr>
          <w:rStyle w:val="15"/>
          <w:rFonts w:ascii="宋体" w:hAnsi="宋体" w:eastAsia="宋体"/>
          <w:sz w:val="28"/>
          <w:szCs w:val="28"/>
          <w:lang/>
        </w:rPr>
        <w:t>九、国有资本经营预算支出决算情况说明</w:t>
      </w:r>
      <w:r>
        <w:rPr>
          <w:rFonts w:ascii="宋体" w:hAnsi="宋体" w:eastAsia="宋体"/>
          <w:sz w:val="28"/>
          <w:szCs w:val="28"/>
          <w:lang/>
        </w:rPr>
        <w:tab/>
      </w:r>
      <w:r>
        <w:rPr>
          <w:rFonts w:ascii="宋体" w:hAnsi="宋体" w:eastAsia="宋体"/>
          <w:sz w:val="28"/>
          <w:szCs w:val="28"/>
          <w:lang/>
        </w:rPr>
        <w:fldChar w:fldCharType="begin"/>
      </w:r>
      <w:r>
        <w:rPr>
          <w:rFonts w:ascii="宋体" w:hAnsi="宋体" w:eastAsia="宋体"/>
          <w:sz w:val="28"/>
          <w:szCs w:val="28"/>
          <w:lang/>
        </w:rPr>
        <w:instrText xml:space="preserve"> PAGEREF _Toc80282381 \h </w:instrText>
      </w:r>
      <w:r>
        <w:rPr>
          <w:rFonts w:ascii="宋体" w:hAnsi="宋体" w:eastAsia="宋体"/>
          <w:sz w:val="28"/>
          <w:szCs w:val="28"/>
          <w:lang/>
        </w:rPr>
        <w:fldChar w:fldCharType="separate"/>
      </w:r>
      <w:r>
        <w:rPr>
          <w:rFonts w:ascii="宋体" w:hAnsi="宋体" w:eastAsia="宋体"/>
          <w:sz w:val="28"/>
          <w:szCs w:val="28"/>
          <w:lang/>
        </w:rPr>
        <w:t>- 9 -</w:t>
      </w:r>
      <w:r>
        <w:rPr>
          <w:rFonts w:ascii="宋体" w:hAnsi="宋体" w:eastAsia="宋体"/>
          <w:sz w:val="28"/>
          <w:szCs w:val="28"/>
          <w:lang/>
        </w:rPr>
        <w:fldChar w:fldCharType="end"/>
      </w:r>
      <w:r>
        <w:rPr>
          <w:rStyle w:val="15"/>
          <w:rFonts w:ascii="宋体" w:hAnsi="宋体" w:eastAsia="宋体"/>
          <w:sz w:val="28"/>
          <w:szCs w:val="28"/>
          <w:lang/>
        </w:rPr>
        <w:fldChar w:fldCharType="end"/>
      </w:r>
    </w:p>
    <w:p>
      <w:pPr>
        <w:pStyle w:val="9"/>
        <w:tabs>
          <w:tab w:val="right" w:leader="dot" w:pos="9060"/>
        </w:tabs>
        <w:spacing w:line="600" w:lineRule="exact"/>
        <w:ind w:left="648"/>
        <w:rPr>
          <w:rFonts w:ascii="宋体" w:hAnsi="宋体" w:eastAsia="宋体"/>
          <w:sz w:val="28"/>
          <w:szCs w:val="28"/>
          <w:lang/>
        </w:rPr>
      </w:pPr>
      <w:r>
        <w:rPr>
          <w:rStyle w:val="15"/>
          <w:rFonts w:ascii="宋体" w:hAnsi="宋体" w:eastAsia="宋体"/>
          <w:sz w:val="28"/>
          <w:szCs w:val="28"/>
          <w:lang/>
        </w:rPr>
        <w:fldChar w:fldCharType="begin"/>
      </w:r>
      <w:r>
        <w:rPr>
          <w:rStyle w:val="15"/>
          <w:rFonts w:ascii="宋体" w:hAnsi="宋体" w:eastAsia="宋体"/>
          <w:sz w:val="28"/>
          <w:szCs w:val="28"/>
          <w:lang/>
        </w:rPr>
        <w:instrText xml:space="preserve"> </w:instrText>
      </w:r>
      <w:r>
        <w:rPr>
          <w:rFonts w:ascii="宋体" w:hAnsi="宋体" w:eastAsia="宋体"/>
          <w:sz w:val="28"/>
          <w:szCs w:val="28"/>
          <w:lang/>
        </w:rPr>
        <w:instrText xml:space="preserve">HYPERLINK \l "_Toc80282382"</w:instrText>
      </w:r>
      <w:r>
        <w:rPr>
          <w:rStyle w:val="15"/>
          <w:rFonts w:ascii="宋体" w:hAnsi="宋体" w:eastAsia="宋体"/>
          <w:sz w:val="28"/>
          <w:szCs w:val="28"/>
          <w:lang/>
        </w:rPr>
        <w:instrText xml:space="preserve"> </w:instrText>
      </w:r>
      <w:r>
        <w:rPr>
          <w:rStyle w:val="15"/>
          <w:rFonts w:ascii="宋体" w:hAnsi="宋体" w:eastAsia="宋体"/>
          <w:sz w:val="28"/>
          <w:szCs w:val="28"/>
          <w:lang/>
        </w:rPr>
        <w:fldChar w:fldCharType="separate"/>
      </w:r>
      <w:r>
        <w:rPr>
          <w:rStyle w:val="15"/>
          <w:rFonts w:ascii="宋体" w:hAnsi="宋体" w:eastAsia="宋体"/>
          <w:sz w:val="28"/>
          <w:szCs w:val="28"/>
          <w:lang/>
        </w:rPr>
        <w:t>十、其他重要事项的情况说明</w:t>
      </w:r>
      <w:r>
        <w:rPr>
          <w:rFonts w:ascii="宋体" w:hAnsi="宋体" w:eastAsia="宋体"/>
          <w:sz w:val="28"/>
          <w:szCs w:val="28"/>
          <w:lang/>
        </w:rPr>
        <w:tab/>
      </w:r>
      <w:r>
        <w:rPr>
          <w:rFonts w:ascii="宋体" w:hAnsi="宋体" w:eastAsia="宋体"/>
          <w:sz w:val="28"/>
          <w:szCs w:val="28"/>
          <w:lang/>
        </w:rPr>
        <w:fldChar w:fldCharType="begin"/>
      </w:r>
      <w:r>
        <w:rPr>
          <w:rFonts w:ascii="宋体" w:hAnsi="宋体" w:eastAsia="宋体"/>
          <w:sz w:val="28"/>
          <w:szCs w:val="28"/>
          <w:lang/>
        </w:rPr>
        <w:instrText xml:space="preserve"> PAGEREF _Toc80282382 \h </w:instrText>
      </w:r>
      <w:r>
        <w:rPr>
          <w:rFonts w:ascii="宋体" w:hAnsi="宋体" w:eastAsia="宋体"/>
          <w:sz w:val="28"/>
          <w:szCs w:val="28"/>
          <w:lang/>
        </w:rPr>
        <w:fldChar w:fldCharType="separate"/>
      </w:r>
      <w:r>
        <w:rPr>
          <w:rFonts w:ascii="宋体" w:hAnsi="宋体" w:eastAsia="宋体"/>
          <w:sz w:val="28"/>
          <w:szCs w:val="28"/>
          <w:lang/>
        </w:rPr>
        <w:t>- 9 -</w:t>
      </w:r>
      <w:r>
        <w:rPr>
          <w:rFonts w:ascii="宋体" w:hAnsi="宋体" w:eastAsia="宋体"/>
          <w:sz w:val="28"/>
          <w:szCs w:val="28"/>
          <w:lang/>
        </w:rPr>
        <w:fldChar w:fldCharType="end"/>
      </w:r>
      <w:r>
        <w:rPr>
          <w:rStyle w:val="15"/>
          <w:rFonts w:ascii="宋体" w:hAnsi="宋体" w:eastAsia="宋体"/>
          <w:sz w:val="28"/>
          <w:szCs w:val="28"/>
          <w:lang/>
        </w:rPr>
        <w:fldChar w:fldCharType="end"/>
      </w:r>
    </w:p>
    <w:p>
      <w:pPr>
        <w:pStyle w:val="8"/>
        <w:rPr>
          <w:rStyle w:val="15"/>
        </w:rPr>
      </w:pPr>
      <w:r>
        <w:rPr>
          <w:rStyle w:val="15"/>
        </w:rPr>
        <w:fldChar w:fldCharType="begin"/>
      </w:r>
      <w:r>
        <w:rPr>
          <w:rStyle w:val="15"/>
        </w:rPr>
        <w:instrText xml:space="preserve"> HYPERLINK \l "_Toc80282383" </w:instrText>
      </w:r>
      <w:r>
        <w:rPr>
          <w:rStyle w:val="15"/>
        </w:rPr>
        <w:fldChar w:fldCharType="separate"/>
      </w:r>
      <w:r>
        <w:rPr>
          <w:rStyle w:val="15"/>
        </w:rPr>
        <w:t>第三部分 名词解释</w:t>
      </w:r>
      <w:r>
        <w:rPr>
          <w:rStyle w:val="15"/>
        </w:rPr>
        <w:tab/>
      </w:r>
      <w:r>
        <w:rPr>
          <w:rStyle w:val="15"/>
        </w:rPr>
        <w:fldChar w:fldCharType="begin"/>
      </w:r>
      <w:r>
        <w:rPr>
          <w:rStyle w:val="15"/>
        </w:rPr>
        <w:instrText xml:space="preserve"> PAGEREF _Toc80282383 \h </w:instrText>
      </w:r>
      <w:r>
        <w:rPr>
          <w:rStyle w:val="15"/>
        </w:rPr>
        <w:fldChar w:fldCharType="separate"/>
      </w:r>
      <w:r>
        <w:rPr>
          <w:rStyle w:val="15"/>
        </w:rPr>
        <w:t>- 15 -</w:t>
      </w:r>
      <w:r>
        <w:rPr>
          <w:rStyle w:val="15"/>
        </w:rPr>
        <w:fldChar w:fldCharType="end"/>
      </w:r>
      <w:r>
        <w:rPr>
          <w:rStyle w:val="15"/>
        </w:rPr>
        <w:fldChar w:fldCharType="end"/>
      </w:r>
    </w:p>
    <w:p>
      <w:pPr>
        <w:pStyle w:val="8"/>
        <w:rPr>
          <w:rStyle w:val="15"/>
        </w:rPr>
      </w:pPr>
      <w:r>
        <w:rPr>
          <w:rStyle w:val="15"/>
        </w:rPr>
        <w:fldChar w:fldCharType="begin"/>
      </w:r>
      <w:r>
        <w:rPr>
          <w:rStyle w:val="15"/>
        </w:rPr>
        <w:instrText xml:space="preserve"> HYPERLINK \l "_Toc80282384" </w:instrText>
      </w:r>
      <w:r>
        <w:rPr>
          <w:rStyle w:val="15"/>
        </w:rPr>
        <w:fldChar w:fldCharType="separate"/>
      </w:r>
      <w:r>
        <w:rPr>
          <w:rStyle w:val="15"/>
        </w:rPr>
        <w:t>第四部分 附件</w:t>
      </w:r>
      <w:r>
        <w:rPr>
          <w:rStyle w:val="15"/>
        </w:rPr>
        <w:tab/>
      </w:r>
      <w:r>
        <w:rPr>
          <w:rStyle w:val="15"/>
        </w:rPr>
        <w:fldChar w:fldCharType="begin"/>
      </w:r>
      <w:r>
        <w:rPr>
          <w:rStyle w:val="15"/>
        </w:rPr>
        <w:instrText xml:space="preserve"> PAGEREF _Toc80282384 \h </w:instrText>
      </w:r>
      <w:r>
        <w:rPr>
          <w:rStyle w:val="15"/>
        </w:rPr>
        <w:fldChar w:fldCharType="separate"/>
      </w:r>
      <w:r>
        <w:rPr>
          <w:rStyle w:val="15"/>
        </w:rPr>
        <w:t>- 19 -</w:t>
      </w:r>
      <w:r>
        <w:rPr>
          <w:rStyle w:val="15"/>
        </w:rPr>
        <w:fldChar w:fldCharType="end"/>
      </w:r>
      <w:r>
        <w:rPr>
          <w:rStyle w:val="15"/>
        </w:rPr>
        <w:fldChar w:fldCharType="end"/>
      </w:r>
    </w:p>
    <w:p>
      <w:pPr>
        <w:pStyle w:val="9"/>
        <w:tabs>
          <w:tab w:val="right" w:leader="dot" w:pos="9060"/>
        </w:tabs>
        <w:spacing w:line="600" w:lineRule="exact"/>
        <w:ind w:left="648"/>
        <w:rPr>
          <w:rFonts w:ascii="宋体" w:hAnsi="宋体" w:eastAsia="宋体"/>
          <w:sz w:val="28"/>
          <w:szCs w:val="28"/>
          <w:lang/>
        </w:rPr>
      </w:pPr>
      <w:r>
        <w:rPr>
          <w:rStyle w:val="15"/>
          <w:rFonts w:ascii="宋体" w:hAnsi="宋体" w:eastAsia="宋体"/>
          <w:sz w:val="28"/>
          <w:szCs w:val="28"/>
          <w:lang/>
        </w:rPr>
        <w:fldChar w:fldCharType="begin"/>
      </w:r>
      <w:r>
        <w:rPr>
          <w:rStyle w:val="15"/>
          <w:rFonts w:ascii="宋体" w:hAnsi="宋体" w:eastAsia="宋体"/>
          <w:sz w:val="28"/>
          <w:szCs w:val="28"/>
          <w:lang/>
        </w:rPr>
        <w:instrText xml:space="preserve"> </w:instrText>
      </w:r>
      <w:r>
        <w:rPr>
          <w:rFonts w:ascii="宋体" w:hAnsi="宋体" w:eastAsia="宋体"/>
          <w:sz w:val="28"/>
          <w:szCs w:val="28"/>
          <w:lang/>
        </w:rPr>
        <w:instrText xml:space="preserve">HYPERLINK \l "_Toc80282385"</w:instrText>
      </w:r>
      <w:r>
        <w:rPr>
          <w:rStyle w:val="15"/>
          <w:rFonts w:ascii="宋体" w:hAnsi="宋体" w:eastAsia="宋体"/>
          <w:sz w:val="28"/>
          <w:szCs w:val="28"/>
          <w:lang/>
        </w:rPr>
        <w:instrText xml:space="preserve"> </w:instrText>
      </w:r>
      <w:r>
        <w:rPr>
          <w:rStyle w:val="15"/>
          <w:rFonts w:ascii="宋体" w:hAnsi="宋体" w:eastAsia="宋体"/>
          <w:sz w:val="28"/>
          <w:szCs w:val="28"/>
          <w:lang/>
        </w:rPr>
        <w:fldChar w:fldCharType="separate"/>
      </w:r>
      <w:r>
        <w:rPr>
          <w:rStyle w:val="15"/>
          <w:rFonts w:ascii="宋体" w:hAnsi="宋体" w:eastAsia="宋体"/>
          <w:sz w:val="28"/>
          <w:szCs w:val="28"/>
          <w:lang/>
        </w:rPr>
        <w:t>附件1</w:t>
      </w:r>
      <w:r>
        <w:rPr>
          <w:rFonts w:ascii="宋体" w:hAnsi="宋体" w:eastAsia="宋体"/>
          <w:sz w:val="28"/>
          <w:szCs w:val="28"/>
          <w:lang/>
        </w:rPr>
        <w:tab/>
      </w:r>
      <w:r>
        <w:rPr>
          <w:rFonts w:ascii="宋体" w:hAnsi="宋体" w:eastAsia="宋体"/>
          <w:sz w:val="28"/>
          <w:szCs w:val="28"/>
          <w:lang/>
        </w:rPr>
        <w:fldChar w:fldCharType="begin"/>
      </w:r>
      <w:r>
        <w:rPr>
          <w:rFonts w:ascii="宋体" w:hAnsi="宋体" w:eastAsia="宋体"/>
          <w:sz w:val="28"/>
          <w:szCs w:val="28"/>
          <w:lang/>
        </w:rPr>
        <w:instrText xml:space="preserve"> PAGEREF _Toc80282385 \h </w:instrText>
      </w:r>
      <w:r>
        <w:rPr>
          <w:rFonts w:ascii="宋体" w:hAnsi="宋体" w:eastAsia="宋体"/>
          <w:sz w:val="28"/>
          <w:szCs w:val="28"/>
          <w:lang/>
        </w:rPr>
        <w:fldChar w:fldCharType="separate"/>
      </w:r>
      <w:r>
        <w:rPr>
          <w:rFonts w:ascii="宋体" w:hAnsi="宋体" w:eastAsia="宋体"/>
          <w:sz w:val="28"/>
          <w:szCs w:val="28"/>
          <w:lang/>
        </w:rPr>
        <w:t>- 20 -</w:t>
      </w:r>
      <w:r>
        <w:rPr>
          <w:rFonts w:ascii="宋体" w:hAnsi="宋体" w:eastAsia="宋体"/>
          <w:sz w:val="28"/>
          <w:szCs w:val="28"/>
          <w:lang/>
        </w:rPr>
        <w:fldChar w:fldCharType="end"/>
      </w:r>
      <w:r>
        <w:rPr>
          <w:rStyle w:val="15"/>
          <w:rFonts w:ascii="宋体" w:hAnsi="宋体" w:eastAsia="宋体"/>
          <w:sz w:val="28"/>
          <w:szCs w:val="28"/>
          <w:lang/>
        </w:rPr>
        <w:fldChar w:fldCharType="end"/>
      </w:r>
    </w:p>
    <w:p>
      <w:pPr>
        <w:pStyle w:val="9"/>
        <w:tabs>
          <w:tab w:val="right" w:leader="dot" w:pos="9060"/>
        </w:tabs>
        <w:spacing w:line="600" w:lineRule="exact"/>
        <w:ind w:left="648"/>
        <w:rPr>
          <w:rFonts w:ascii="宋体" w:hAnsi="宋体" w:eastAsia="宋体"/>
          <w:sz w:val="28"/>
          <w:szCs w:val="28"/>
          <w:lang/>
        </w:rPr>
      </w:pPr>
      <w:r>
        <w:rPr>
          <w:rStyle w:val="15"/>
          <w:rFonts w:ascii="宋体" w:hAnsi="宋体" w:eastAsia="宋体"/>
          <w:sz w:val="28"/>
          <w:szCs w:val="28"/>
          <w:lang/>
        </w:rPr>
        <w:fldChar w:fldCharType="begin"/>
      </w:r>
      <w:r>
        <w:rPr>
          <w:rStyle w:val="15"/>
          <w:rFonts w:ascii="宋体" w:hAnsi="宋体" w:eastAsia="宋体"/>
          <w:sz w:val="28"/>
          <w:szCs w:val="28"/>
          <w:lang/>
        </w:rPr>
        <w:instrText xml:space="preserve"> </w:instrText>
      </w:r>
      <w:r>
        <w:rPr>
          <w:rFonts w:ascii="宋体" w:hAnsi="宋体" w:eastAsia="宋体"/>
          <w:sz w:val="28"/>
          <w:szCs w:val="28"/>
          <w:lang/>
        </w:rPr>
        <w:instrText xml:space="preserve">HYPERLINK \l "_Toc80282386"</w:instrText>
      </w:r>
      <w:r>
        <w:rPr>
          <w:rStyle w:val="15"/>
          <w:rFonts w:ascii="宋体" w:hAnsi="宋体" w:eastAsia="宋体"/>
          <w:sz w:val="28"/>
          <w:szCs w:val="28"/>
          <w:lang/>
        </w:rPr>
        <w:instrText xml:space="preserve"> </w:instrText>
      </w:r>
      <w:r>
        <w:rPr>
          <w:rStyle w:val="15"/>
          <w:rFonts w:ascii="宋体" w:hAnsi="宋体" w:eastAsia="宋体"/>
          <w:sz w:val="28"/>
          <w:szCs w:val="28"/>
          <w:lang/>
        </w:rPr>
        <w:fldChar w:fldCharType="separate"/>
      </w:r>
      <w:r>
        <w:rPr>
          <w:rStyle w:val="15"/>
          <w:rFonts w:ascii="宋体" w:hAnsi="宋体" w:eastAsia="宋体"/>
          <w:sz w:val="28"/>
          <w:szCs w:val="28"/>
          <w:lang/>
        </w:rPr>
        <w:t>附件2</w:t>
      </w:r>
      <w:r>
        <w:rPr>
          <w:rFonts w:ascii="宋体" w:hAnsi="宋体" w:eastAsia="宋体"/>
          <w:sz w:val="28"/>
          <w:szCs w:val="28"/>
          <w:lang/>
        </w:rPr>
        <w:tab/>
      </w:r>
      <w:r>
        <w:rPr>
          <w:rFonts w:ascii="宋体" w:hAnsi="宋体" w:eastAsia="宋体"/>
          <w:sz w:val="28"/>
          <w:szCs w:val="28"/>
          <w:lang/>
        </w:rPr>
        <w:fldChar w:fldCharType="begin"/>
      </w:r>
      <w:r>
        <w:rPr>
          <w:rFonts w:ascii="宋体" w:hAnsi="宋体" w:eastAsia="宋体"/>
          <w:sz w:val="28"/>
          <w:szCs w:val="28"/>
          <w:lang/>
        </w:rPr>
        <w:instrText xml:space="preserve"> PAGEREF _Toc80282386 \h </w:instrText>
      </w:r>
      <w:r>
        <w:rPr>
          <w:rFonts w:ascii="宋体" w:hAnsi="宋体" w:eastAsia="宋体"/>
          <w:sz w:val="28"/>
          <w:szCs w:val="28"/>
          <w:lang/>
        </w:rPr>
        <w:fldChar w:fldCharType="separate"/>
      </w:r>
      <w:r>
        <w:rPr>
          <w:rFonts w:ascii="宋体" w:hAnsi="宋体" w:eastAsia="宋体"/>
          <w:sz w:val="28"/>
          <w:szCs w:val="28"/>
          <w:lang/>
        </w:rPr>
        <w:t>- 24 -</w:t>
      </w:r>
      <w:r>
        <w:rPr>
          <w:rFonts w:ascii="宋体" w:hAnsi="宋体" w:eastAsia="宋体"/>
          <w:sz w:val="28"/>
          <w:szCs w:val="28"/>
          <w:lang/>
        </w:rPr>
        <w:fldChar w:fldCharType="end"/>
      </w:r>
      <w:r>
        <w:rPr>
          <w:rStyle w:val="15"/>
          <w:rFonts w:ascii="宋体" w:hAnsi="宋体" w:eastAsia="宋体"/>
          <w:sz w:val="28"/>
          <w:szCs w:val="28"/>
          <w:lang/>
        </w:rPr>
        <w:fldChar w:fldCharType="end"/>
      </w:r>
    </w:p>
    <w:p>
      <w:pPr>
        <w:pStyle w:val="9"/>
        <w:tabs>
          <w:tab w:val="right" w:leader="dot" w:pos="9060"/>
        </w:tabs>
        <w:spacing w:line="600" w:lineRule="exact"/>
        <w:ind w:left="648"/>
        <w:rPr>
          <w:rFonts w:ascii="宋体" w:hAnsi="宋体" w:eastAsia="宋体"/>
          <w:sz w:val="28"/>
          <w:szCs w:val="28"/>
          <w:lang/>
        </w:rPr>
      </w:pPr>
      <w:r>
        <w:rPr>
          <w:rStyle w:val="15"/>
          <w:rFonts w:ascii="宋体" w:hAnsi="宋体" w:eastAsia="宋体"/>
          <w:sz w:val="28"/>
          <w:szCs w:val="28"/>
          <w:lang/>
        </w:rPr>
        <w:fldChar w:fldCharType="begin"/>
      </w:r>
      <w:r>
        <w:rPr>
          <w:rStyle w:val="15"/>
          <w:rFonts w:ascii="宋体" w:hAnsi="宋体" w:eastAsia="宋体"/>
          <w:sz w:val="28"/>
          <w:szCs w:val="28"/>
          <w:lang/>
        </w:rPr>
        <w:instrText xml:space="preserve"> </w:instrText>
      </w:r>
      <w:r>
        <w:rPr>
          <w:rFonts w:ascii="宋体" w:hAnsi="宋体" w:eastAsia="宋体"/>
          <w:sz w:val="28"/>
          <w:szCs w:val="28"/>
          <w:lang/>
        </w:rPr>
        <w:instrText xml:space="preserve">HYPERLINK \l "_Toc80282387"</w:instrText>
      </w:r>
      <w:r>
        <w:rPr>
          <w:rStyle w:val="15"/>
          <w:rFonts w:ascii="宋体" w:hAnsi="宋体" w:eastAsia="宋体"/>
          <w:sz w:val="28"/>
          <w:szCs w:val="28"/>
          <w:lang/>
        </w:rPr>
        <w:instrText xml:space="preserve"> </w:instrText>
      </w:r>
      <w:r>
        <w:rPr>
          <w:rStyle w:val="15"/>
          <w:rFonts w:ascii="宋体" w:hAnsi="宋体" w:eastAsia="宋体"/>
          <w:sz w:val="28"/>
          <w:szCs w:val="28"/>
          <w:lang/>
        </w:rPr>
        <w:fldChar w:fldCharType="separate"/>
      </w:r>
      <w:r>
        <w:rPr>
          <w:rStyle w:val="15"/>
          <w:rFonts w:ascii="宋体" w:hAnsi="宋体" w:eastAsia="宋体"/>
          <w:sz w:val="28"/>
          <w:szCs w:val="28"/>
          <w:lang/>
        </w:rPr>
        <w:t>附件2-1</w:t>
      </w:r>
      <w:r>
        <w:rPr>
          <w:rFonts w:ascii="宋体" w:hAnsi="宋体" w:eastAsia="宋体"/>
          <w:sz w:val="28"/>
          <w:szCs w:val="28"/>
          <w:lang/>
        </w:rPr>
        <w:tab/>
      </w:r>
      <w:r>
        <w:rPr>
          <w:rFonts w:ascii="宋体" w:hAnsi="宋体" w:eastAsia="宋体"/>
          <w:sz w:val="28"/>
          <w:szCs w:val="28"/>
          <w:lang/>
        </w:rPr>
        <w:fldChar w:fldCharType="begin"/>
      </w:r>
      <w:r>
        <w:rPr>
          <w:rFonts w:ascii="宋体" w:hAnsi="宋体" w:eastAsia="宋体"/>
          <w:sz w:val="28"/>
          <w:szCs w:val="28"/>
          <w:lang/>
        </w:rPr>
        <w:instrText xml:space="preserve"> PAGEREF _Toc80282387 \h </w:instrText>
      </w:r>
      <w:r>
        <w:rPr>
          <w:rFonts w:ascii="宋体" w:hAnsi="宋体" w:eastAsia="宋体"/>
          <w:sz w:val="28"/>
          <w:szCs w:val="28"/>
          <w:lang/>
        </w:rPr>
        <w:fldChar w:fldCharType="separate"/>
      </w:r>
      <w:r>
        <w:rPr>
          <w:rFonts w:ascii="宋体" w:hAnsi="宋体" w:eastAsia="宋体"/>
          <w:sz w:val="28"/>
          <w:szCs w:val="28"/>
          <w:lang/>
        </w:rPr>
        <w:t>- 29 -</w:t>
      </w:r>
      <w:r>
        <w:rPr>
          <w:rFonts w:ascii="宋体" w:hAnsi="宋体" w:eastAsia="宋体"/>
          <w:sz w:val="28"/>
          <w:szCs w:val="28"/>
          <w:lang/>
        </w:rPr>
        <w:fldChar w:fldCharType="end"/>
      </w:r>
      <w:r>
        <w:rPr>
          <w:rStyle w:val="15"/>
          <w:rFonts w:ascii="宋体" w:hAnsi="宋体" w:eastAsia="宋体"/>
          <w:sz w:val="28"/>
          <w:szCs w:val="28"/>
          <w:lang/>
        </w:rPr>
        <w:fldChar w:fldCharType="end"/>
      </w:r>
    </w:p>
    <w:p>
      <w:pPr>
        <w:pStyle w:val="8"/>
        <w:rPr>
          <w:rStyle w:val="15"/>
        </w:rPr>
      </w:pPr>
      <w:r>
        <w:rPr>
          <w:rStyle w:val="15"/>
        </w:rPr>
        <w:fldChar w:fldCharType="begin"/>
      </w:r>
      <w:r>
        <w:rPr>
          <w:rStyle w:val="15"/>
        </w:rPr>
        <w:instrText xml:space="preserve"> HYPERLINK \l "_Toc80282388" </w:instrText>
      </w:r>
      <w:r>
        <w:rPr>
          <w:rStyle w:val="15"/>
        </w:rPr>
        <w:fldChar w:fldCharType="separate"/>
      </w:r>
      <w:r>
        <w:rPr>
          <w:rStyle w:val="15"/>
        </w:rPr>
        <w:t>第五部分 附表</w:t>
      </w:r>
      <w:r>
        <w:rPr>
          <w:rStyle w:val="15"/>
        </w:rPr>
        <w:tab/>
      </w:r>
      <w:r>
        <w:rPr>
          <w:rStyle w:val="15"/>
        </w:rPr>
        <w:fldChar w:fldCharType="begin"/>
      </w:r>
      <w:r>
        <w:rPr>
          <w:rStyle w:val="15"/>
        </w:rPr>
        <w:instrText xml:space="preserve"> PAGEREF _Toc80282388 \h </w:instrText>
      </w:r>
      <w:r>
        <w:rPr>
          <w:rStyle w:val="15"/>
        </w:rPr>
        <w:fldChar w:fldCharType="separate"/>
      </w:r>
      <w:r>
        <w:rPr>
          <w:rStyle w:val="15"/>
        </w:rPr>
        <w:t>- 33 -</w:t>
      </w:r>
      <w:r>
        <w:rPr>
          <w:rStyle w:val="15"/>
        </w:rPr>
        <w:fldChar w:fldCharType="end"/>
      </w:r>
      <w:r>
        <w:rPr>
          <w:rStyle w:val="15"/>
        </w:rPr>
        <w:fldChar w:fldCharType="end"/>
      </w:r>
    </w:p>
    <w:p>
      <w:pPr>
        <w:pStyle w:val="9"/>
        <w:tabs>
          <w:tab w:val="right" w:leader="dot" w:pos="9060"/>
        </w:tabs>
        <w:spacing w:line="600" w:lineRule="exact"/>
        <w:ind w:left="648"/>
        <w:rPr>
          <w:rFonts w:ascii="宋体" w:hAnsi="宋体" w:eastAsia="宋体"/>
          <w:sz w:val="28"/>
          <w:szCs w:val="28"/>
          <w:lang/>
        </w:rPr>
      </w:pPr>
      <w:r>
        <w:rPr>
          <w:rStyle w:val="15"/>
          <w:rFonts w:ascii="宋体" w:hAnsi="宋体" w:eastAsia="宋体"/>
          <w:sz w:val="28"/>
          <w:szCs w:val="28"/>
          <w:lang/>
        </w:rPr>
        <w:fldChar w:fldCharType="begin"/>
      </w:r>
      <w:r>
        <w:rPr>
          <w:rStyle w:val="15"/>
          <w:rFonts w:ascii="宋体" w:hAnsi="宋体" w:eastAsia="宋体"/>
          <w:sz w:val="28"/>
          <w:szCs w:val="28"/>
          <w:lang/>
        </w:rPr>
        <w:instrText xml:space="preserve"> </w:instrText>
      </w:r>
      <w:r>
        <w:rPr>
          <w:rFonts w:ascii="宋体" w:hAnsi="宋体" w:eastAsia="宋体"/>
          <w:sz w:val="28"/>
          <w:szCs w:val="28"/>
          <w:lang/>
        </w:rPr>
        <w:instrText xml:space="preserve">HYPERLINK \l "_Toc80282389"</w:instrText>
      </w:r>
      <w:r>
        <w:rPr>
          <w:rStyle w:val="15"/>
          <w:rFonts w:ascii="宋体" w:hAnsi="宋体" w:eastAsia="宋体"/>
          <w:sz w:val="28"/>
          <w:szCs w:val="28"/>
          <w:lang/>
        </w:rPr>
        <w:instrText xml:space="preserve"> </w:instrText>
      </w:r>
      <w:r>
        <w:rPr>
          <w:rStyle w:val="15"/>
          <w:rFonts w:ascii="宋体" w:hAnsi="宋体" w:eastAsia="宋体"/>
          <w:sz w:val="28"/>
          <w:szCs w:val="28"/>
          <w:lang/>
        </w:rPr>
        <w:fldChar w:fldCharType="separate"/>
      </w:r>
      <w:r>
        <w:rPr>
          <w:rStyle w:val="15"/>
          <w:rFonts w:ascii="宋体" w:hAnsi="宋体" w:eastAsia="宋体"/>
          <w:sz w:val="28"/>
          <w:szCs w:val="28"/>
          <w:lang/>
        </w:rPr>
        <w:t>一、收入支出决算总表</w:t>
      </w:r>
      <w:r>
        <w:rPr>
          <w:rFonts w:ascii="宋体" w:hAnsi="宋体" w:eastAsia="宋体"/>
          <w:sz w:val="28"/>
          <w:szCs w:val="28"/>
          <w:lang/>
        </w:rPr>
        <w:tab/>
      </w:r>
      <w:r>
        <w:rPr>
          <w:rFonts w:ascii="宋体" w:hAnsi="宋体" w:eastAsia="宋体"/>
          <w:sz w:val="28"/>
          <w:szCs w:val="28"/>
          <w:lang/>
        </w:rPr>
        <w:fldChar w:fldCharType="begin"/>
      </w:r>
      <w:r>
        <w:rPr>
          <w:rFonts w:ascii="宋体" w:hAnsi="宋体" w:eastAsia="宋体"/>
          <w:sz w:val="28"/>
          <w:szCs w:val="28"/>
          <w:lang/>
        </w:rPr>
        <w:instrText xml:space="preserve"> PAGEREF _Toc80282389 \h </w:instrText>
      </w:r>
      <w:r>
        <w:rPr>
          <w:rFonts w:ascii="宋体" w:hAnsi="宋体" w:eastAsia="宋体"/>
          <w:sz w:val="28"/>
          <w:szCs w:val="28"/>
          <w:lang/>
        </w:rPr>
        <w:fldChar w:fldCharType="separate"/>
      </w:r>
      <w:r>
        <w:rPr>
          <w:rFonts w:ascii="宋体" w:hAnsi="宋体" w:eastAsia="宋体"/>
          <w:sz w:val="28"/>
          <w:szCs w:val="28"/>
          <w:lang/>
        </w:rPr>
        <w:t>- 33 -</w:t>
      </w:r>
      <w:r>
        <w:rPr>
          <w:rFonts w:ascii="宋体" w:hAnsi="宋体" w:eastAsia="宋体"/>
          <w:sz w:val="28"/>
          <w:szCs w:val="28"/>
          <w:lang/>
        </w:rPr>
        <w:fldChar w:fldCharType="end"/>
      </w:r>
      <w:r>
        <w:rPr>
          <w:rStyle w:val="15"/>
          <w:rFonts w:ascii="宋体" w:hAnsi="宋体" w:eastAsia="宋体"/>
          <w:sz w:val="28"/>
          <w:szCs w:val="28"/>
          <w:lang/>
        </w:rPr>
        <w:fldChar w:fldCharType="end"/>
      </w:r>
    </w:p>
    <w:p>
      <w:pPr>
        <w:pStyle w:val="9"/>
        <w:tabs>
          <w:tab w:val="right" w:leader="dot" w:pos="9060"/>
        </w:tabs>
        <w:spacing w:line="600" w:lineRule="exact"/>
        <w:ind w:left="648"/>
        <w:rPr>
          <w:rFonts w:ascii="宋体" w:hAnsi="宋体" w:eastAsia="宋体"/>
          <w:sz w:val="28"/>
          <w:szCs w:val="28"/>
          <w:lang/>
        </w:rPr>
      </w:pPr>
      <w:r>
        <w:rPr>
          <w:rStyle w:val="15"/>
          <w:rFonts w:ascii="宋体" w:hAnsi="宋体" w:eastAsia="宋体"/>
          <w:sz w:val="28"/>
          <w:szCs w:val="28"/>
          <w:lang/>
        </w:rPr>
        <w:fldChar w:fldCharType="begin"/>
      </w:r>
      <w:r>
        <w:rPr>
          <w:rStyle w:val="15"/>
          <w:rFonts w:ascii="宋体" w:hAnsi="宋体" w:eastAsia="宋体"/>
          <w:sz w:val="28"/>
          <w:szCs w:val="28"/>
          <w:lang/>
        </w:rPr>
        <w:instrText xml:space="preserve"> </w:instrText>
      </w:r>
      <w:r>
        <w:rPr>
          <w:rFonts w:ascii="宋体" w:hAnsi="宋体" w:eastAsia="宋体"/>
          <w:sz w:val="28"/>
          <w:szCs w:val="28"/>
          <w:lang/>
        </w:rPr>
        <w:instrText xml:space="preserve">HYPERLINK \l "_Toc80282390"</w:instrText>
      </w:r>
      <w:r>
        <w:rPr>
          <w:rStyle w:val="15"/>
          <w:rFonts w:ascii="宋体" w:hAnsi="宋体" w:eastAsia="宋体"/>
          <w:sz w:val="28"/>
          <w:szCs w:val="28"/>
          <w:lang/>
        </w:rPr>
        <w:instrText xml:space="preserve"> </w:instrText>
      </w:r>
      <w:r>
        <w:rPr>
          <w:rStyle w:val="15"/>
          <w:rFonts w:ascii="宋体" w:hAnsi="宋体" w:eastAsia="宋体"/>
          <w:sz w:val="28"/>
          <w:szCs w:val="28"/>
          <w:lang/>
        </w:rPr>
        <w:fldChar w:fldCharType="separate"/>
      </w:r>
      <w:r>
        <w:rPr>
          <w:rStyle w:val="15"/>
          <w:rFonts w:ascii="宋体" w:hAnsi="宋体" w:eastAsia="宋体"/>
          <w:sz w:val="28"/>
          <w:szCs w:val="28"/>
          <w:lang/>
        </w:rPr>
        <w:t>二、收入决算表</w:t>
      </w:r>
      <w:r>
        <w:rPr>
          <w:rFonts w:ascii="宋体" w:hAnsi="宋体" w:eastAsia="宋体"/>
          <w:sz w:val="28"/>
          <w:szCs w:val="28"/>
          <w:lang/>
        </w:rPr>
        <w:tab/>
      </w:r>
      <w:r>
        <w:rPr>
          <w:rFonts w:ascii="宋体" w:hAnsi="宋体" w:eastAsia="宋体"/>
          <w:sz w:val="28"/>
          <w:szCs w:val="28"/>
          <w:lang/>
        </w:rPr>
        <w:fldChar w:fldCharType="begin"/>
      </w:r>
      <w:r>
        <w:rPr>
          <w:rFonts w:ascii="宋体" w:hAnsi="宋体" w:eastAsia="宋体"/>
          <w:sz w:val="28"/>
          <w:szCs w:val="28"/>
          <w:lang/>
        </w:rPr>
        <w:instrText xml:space="preserve"> PAGEREF _Toc80282390 \h </w:instrText>
      </w:r>
      <w:r>
        <w:rPr>
          <w:rFonts w:ascii="宋体" w:hAnsi="宋体" w:eastAsia="宋体"/>
          <w:sz w:val="28"/>
          <w:szCs w:val="28"/>
          <w:lang/>
        </w:rPr>
        <w:fldChar w:fldCharType="separate"/>
      </w:r>
      <w:r>
        <w:rPr>
          <w:rFonts w:ascii="宋体" w:hAnsi="宋体" w:eastAsia="宋体"/>
          <w:sz w:val="28"/>
          <w:szCs w:val="28"/>
          <w:lang/>
        </w:rPr>
        <w:t>- 33 -</w:t>
      </w:r>
      <w:r>
        <w:rPr>
          <w:rFonts w:ascii="宋体" w:hAnsi="宋体" w:eastAsia="宋体"/>
          <w:sz w:val="28"/>
          <w:szCs w:val="28"/>
          <w:lang/>
        </w:rPr>
        <w:fldChar w:fldCharType="end"/>
      </w:r>
      <w:r>
        <w:rPr>
          <w:rStyle w:val="15"/>
          <w:rFonts w:ascii="宋体" w:hAnsi="宋体" w:eastAsia="宋体"/>
          <w:sz w:val="28"/>
          <w:szCs w:val="28"/>
          <w:lang/>
        </w:rPr>
        <w:fldChar w:fldCharType="end"/>
      </w:r>
    </w:p>
    <w:p>
      <w:pPr>
        <w:pStyle w:val="9"/>
        <w:tabs>
          <w:tab w:val="right" w:leader="dot" w:pos="9060"/>
        </w:tabs>
        <w:spacing w:line="600" w:lineRule="exact"/>
        <w:ind w:left="648"/>
        <w:rPr>
          <w:rFonts w:ascii="宋体" w:hAnsi="宋体" w:eastAsia="宋体"/>
          <w:sz w:val="28"/>
          <w:szCs w:val="28"/>
          <w:lang/>
        </w:rPr>
      </w:pPr>
      <w:r>
        <w:rPr>
          <w:rStyle w:val="15"/>
          <w:rFonts w:ascii="宋体" w:hAnsi="宋体" w:eastAsia="宋体"/>
          <w:sz w:val="28"/>
          <w:szCs w:val="28"/>
          <w:lang/>
        </w:rPr>
        <w:fldChar w:fldCharType="begin"/>
      </w:r>
      <w:r>
        <w:rPr>
          <w:rStyle w:val="15"/>
          <w:rFonts w:ascii="宋体" w:hAnsi="宋体" w:eastAsia="宋体"/>
          <w:sz w:val="28"/>
          <w:szCs w:val="28"/>
          <w:lang/>
        </w:rPr>
        <w:instrText xml:space="preserve"> </w:instrText>
      </w:r>
      <w:r>
        <w:rPr>
          <w:rFonts w:ascii="宋体" w:hAnsi="宋体" w:eastAsia="宋体"/>
          <w:sz w:val="28"/>
          <w:szCs w:val="28"/>
          <w:lang/>
        </w:rPr>
        <w:instrText xml:space="preserve">HYPERLINK \l "_Toc80282391"</w:instrText>
      </w:r>
      <w:r>
        <w:rPr>
          <w:rStyle w:val="15"/>
          <w:rFonts w:ascii="宋体" w:hAnsi="宋体" w:eastAsia="宋体"/>
          <w:sz w:val="28"/>
          <w:szCs w:val="28"/>
          <w:lang/>
        </w:rPr>
        <w:instrText xml:space="preserve"> </w:instrText>
      </w:r>
      <w:r>
        <w:rPr>
          <w:rStyle w:val="15"/>
          <w:rFonts w:ascii="宋体" w:hAnsi="宋体" w:eastAsia="宋体"/>
          <w:sz w:val="28"/>
          <w:szCs w:val="28"/>
          <w:lang/>
        </w:rPr>
        <w:fldChar w:fldCharType="separate"/>
      </w:r>
      <w:r>
        <w:rPr>
          <w:rStyle w:val="15"/>
          <w:rFonts w:ascii="宋体" w:hAnsi="宋体" w:eastAsia="宋体"/>
          <w:sz w:val="28"/>
          <w:szCs w:val="28"/>
          <w:lang/>
        </w:rPr>
        <w:t>三、支出决算表</w:t>
      </w:r>
      <w:r>
        <w:rPr>
          <w:rFonts w:ascii="宋体" w:hAnsi="宋体" w:eastAsia="宋体"/>
          <w:sz w:val="28"/>
          <w:szCs w:val="28"/>
          <w:lang/>
        </w:rPr>
        <w:tab/>
      </w:r>
      <w:r>
        <w:rPr>
          <w:rFonts w:ascii="宋体" w:hAnsi="宋体" w:eastAsia="宋体"/>
          <w:sz w:val="28"/>
          <w:szCs w:val="28"/>
          <w:lang/>
        </w:rPr>
        <w:fldChar w:fldCharType="begin"/>
      </w:r>
      <w:r>
        <w:rPr>
          <w:rFonts w:ascii="宋体" w:hAnsi="宋体" w:eastAsia="宋体"/>
          <w:sz w:val="28"/>
          <w:szCs w:val="28"/>
          <w:lang/>
        </w:rPr>
        <w:instrText xml:space="preserve"> PAGEREF _Toc80282391 \h </w:instrText>
      </w:r>
      <w:r>
        <w:rPr>
          <w:rFonts w:ascii="宋体" w:hAnsi="宋体" w:eastAsia="宋体"/>
          <w:sz w:val="28"/>
          <w:szCs w:val="28"/>
          <w:lang/>
        </w:rPr>
        <w:fldChar w:fldCharType="separate"/>
      </w:r>
      <w:r>
        <w:rPr>
          <w:rFonts w:ascii="宋体" w:hAnsi="宋体" w:eastAsia="宋体"/>
          <w:sz w:val="28"/>
          <w:szCs w:val="28"/>
          <w:lang/>
        </w:rPr>
        <w:t>- 33 -</w:t>
      </w:r>
      <w:r>
        <w:rPr>
          <w:rFonts w:ascii="宋体" w:hAnsi="宋体" w:eastAsia="宋体"/>
          <w:sz w:val="28"/>
          <w:szCs w:val="28"/>
          <w:lang/>
        </w:rPr>
        <w:fldChar w:fldCharType="end"/>
      </w:r>
      <w:r>
        <w:rPr>
          <w:rStyle w:val="15"/>
          <w:rFonts w:ascii="宋体" w:hAnsi="宋体" w:eastAsia="宋体"/>
          <w:sz w:val="28"/>
          <w:szCs w:val="28"/>
          <w:lang/>
        </w:rPr>
        <w:fldChar w:fldCharType="end"/>
      </w:r>
    </w:p>
    <w:p>
      <w:pPr>
        <w:pStyle w:val="9"/>
        <w:tabs>
          <w:tab w:val="right" w:leader="dot" w:pos="9060"/>
        </w:tabs>
        <w:spacing w:line="600" w:lineRule="exact"/>
        <w:ind w:left="648"/>
        <w:rPr>
          <w:rFonts w:ascii="宋体" w:hAnsi="宋体" w:eastAsia="宋体"/>
          <w:sz w:val="28"/>
          <w:szCs w:val="28"/>
          <w:lang/>
        </w:rPr>
      </w:pPr>
      <w:r>
        <w:rPr>
          <w:rStyle w:val="15"/>
          <w:rFonts w:ascii="宋体" w:hAnsi="宋体" w:eastAsia="宋体"/>
          <w:sz w:val="28"/>
          <w:szCs w:val="28"/>
          <w:lang/>
        </w:rPr>
        <w:fldChar w:fldCharType="begin"/>
      </w:r>
      <w:r>
        <w:rPr>
          <w:rStyle w:val="15"/>
          <w:rFonts w:ascii="宋体" w:hAnsi="宋体" w:eastAsia="宋体"/>
          <w:sz w:val="28"/>
          <w:szCs w:val="28"/>
          <w:lang/>
        </w:rPr>
        <w:instrText xml:space="preserve"> </w:instrText>
      </w:r>
      <w:r>
        <w:rPr>
          <w:rFonts w:ascii="宋体" w:hAnsi="宋体" w:eastAsia="宋体"/>
          <w:sz w:val="28"/>
          <w:szCs w:val="28"/>
          <w:lang/>
        </w:rPr>
        <w:instrText xml:space="preserve">HYPERLINK \l "_Toc80282392"</w:instrText>
      </w:r>
      <w:r>
        <w:rPr>
          <w:rStyle w:val="15"/>
          <w:rFonts w:ascii="宋体" w:hAnsi="宋体" w:eastAsia="宋体"/>
          <w:sz w:val="28"/>
          <w:szCs w:val="28"/>
          <w:lang/>
        </w:rPr>
        <w:instrText xml:space="preserve"> </w:instrText>
      </w:r>
      <w:r>
        <w:rPr>
          <w:rStyle w:val="15"/>
          <w:rFonts w:ascii="宋体" w:hAnsi="宋体" w:eastAsia="宋体"/>
          <w:sz w:val="28"/>
          <w:szCs w:val="28"/>
          <w:lang/>
        </w:rPr>
        <w:fldChar w:fldCharType="separate"/>
      </w:r>
      <w:r>
        <w:rPr>
          <w:rStyle w:val="15"/>
          <w:rFonts w:ascii="宋体" w:hAnsi="宋体" w:eastAsia="宋体"/>
          <w:sz w:val="28"/>
          <w:szCs w:val="28"/>
          <w:lang/>
        </w:rPr>
        <w:t>四、财政拨款收入支出决算总表</w:t>
      </w:r>
      <w:r>
        <w:rPr>
          <w:rFonts w:ascii="宋体" w:hAnsi="宋体" w:eastAsia="宋体"/>
          <w:sz w:val="28"/>
          <w:szCs w:val="28"/>
          <w:lang/>
        </w:rPr>
        <w:tab/>
      </w:r>
      <w:r>
        <w:rPr>
          <w:rFonts w:ascii="宋体" w:hAnsi="宋体" w:eastAsia="宋体"/>
          <w:sz w:val="28"/>
          <w:szCs w:val="28"/>
          <w:lang/>
        </w:rPr>
        <w:fldChar w:fldCharType="begin"/>
      </w:r>
      <w:r>
        <w:rPr>
          <w:rFonts w:ascii="宋体" w:hAnsi="宋体" w:eastAsia="宋体"/>
          <w:sz w:val="28"/>
          <w:szCs w:val="28"/>
          <w:lang/>
        </w:rPr>
        <w:instrText xml:space="preserve"> PAGEREF _Toc80282392 \h </w:instrText>
      </w:r>
      <w:r>
        <w:rPr>
          <w:rFonts w:ascii="宋体" w:hAnsi="宋体" w:eastAsia="宋体"/>
          <w:sz w:val="28"/>
          <w:szCs w:val="28"/>
          <w:lang/>
        </w:rPr>
        <w:fldChar w:fldCharType="separate"/>
      </w:r>
      <w:r>
        <w:rPr>
          <w:rFonts w:ascii="宋体" w:hAnsi="宋体" w:eastAsia="宋体"/>
          <w:sz w:val="28"/>
          <w:szCs w:val="28"/>
          <w:lang/>
        </w:rPr>
        <w:t>- 33 -</w:t>
      </w:r>
      <w:r>
        <w:rPr>
          <w:rFonts w:ascii="宋体" w:hAnsi="宋体" w:eastAsia="宋体"/>
          <w:sz w:val="28"/>
          <w:szCs w:val="28"/>
          <w:lang/>
        </w:rPr>
        <w:fldChar w:fldCharType="end"/>
      </w:r>
      <w:r>
        <w:rPr>
          <w:rStyle w:val="15"/>
          <w:rFonts w:ascii="宋体" w:hAnsi="宋体" w:eastAsia="宋体"/>
          <w:sz w:val="28"/>
          <w:szCs w:val="28"/>
          <w:lang/>
        </w:rPr>
        <w:fldChar w:fldCharType="end"/>
      </w:r>
    </w:p>
    <w:p>
      <w:pPr>
        <w:pStyle w:val="9"/>
        <w:tabs>
          <w:tab w:val="right" w:leader="dot" w:pos="9060"/>
        </w:tabs>
        <w:spacing w:line="600" w:lineRule="exact"/>
        <w:ind w:left="648"/>
        <w:rPr>
          <w:rFonts w:ascii="宋体" w:hAnsi="宋体" w:eastAsia="宋体"/>
          <w:sz w:val="28"/>
          <w:szCs w:val="28"/>
          <w:lang/>
        </w:rPr>
      </w:pPr>
      <w:r>
        <w:rPr>
          <w:rStyle w:val="15"/>
          <w:rFonts w:ascii="宋体" w:hAnsi="宋体" w:eastAsia="宋体"/>
          <w:sz w:val="28"/>
          <w:szCs w:val="28"/>
          <w:lang/>
        </w:rPr>
        <w:fldChar w:fldCharType="begin"/>
      </w:r>
      <w:r>
        <w:rPr>
          <w:rStyle w:val="15"/>
          <w:rFonts w:ascii="宋体" w:hAnsi="宋体" w:eastAsia="宋体"/>
          <w:sz w:val="28"/>
          <w:szCs w:val="28"/>
          <w:lang/>
        </w:rPr>
        <w:instrText xml:space="preserve"> </w:instrText>
      </w:r>
      <w:r>
        <w:rPr>
          <w:rFonts w:ascii="宋体" w:hAnsi="宋体" w:eastAsia="宋体"/>
          <w:sz w:val="28"/>
          <w:szCs w:val="28"/>
          <w:lang/>
        </w:rPr>
        <w:instrText xml:space="preserve">HYPERLINK \l "_Toc80282393"</w:instrText>
      </w:r>
      <w:r>
        <w:rPr>
          <w:rStyle w:val="15"/>
          <w:rFonts w:ascii="宋体" w:hAnsi="宋体" w:eastAsia="宋体"/>
          <w:sz w:val="28"/>
          <w:szCs w:val="28"/>
          <w:lang/>
        </w:rPr>
        <w:instrText xml:space="preserve"> </w:instrText>
      </w:r>
      <w:r>
        <w:rPr>
          <w:rStyle w:val="15"/>
          <w:rFonts w:ascii="宋体" w:hAnsi="宋体" w:eastAsia="宋体"/>
          <w:sz w:val="28"/>
          <w:szCs w:val="28"/>
          <w:lang/>
        </w:rPr>
        <w:fldChar w:fldCharType="separate"/>
      </w:r>
      <w:r>
        <w:rPr>
          <w:rStyle w:val="15"/>
          <w:rFonts w:ascii="宋体" w:hAnsi="宋体" w:eastAsia="宋体"/>
          <w:sz w:val="28"/>
          <w:szCs w:val="28"/>
          <w:lang/>
        </w:rPr>
        <w:t>五、财政拨款支出决算明细表</w:t>
      </w:r>
      <w:r>
        <w:rPr>
          <w:rFonts w:ascii="宋体" w:hAnsi="宋体" w:eastAsia="宋体"/>
          <w:sz w:val="28"/>
          <w:szCs w:val="28"/>
          <w:lang/>
        </w:rPr>
        <w:tab/>
      </w:r>
      <w:r>
        <w:rPr>
          <w:rFonts w:ascii="宋体" w:hAnsi="宋体" w:eastAsia="宋体"/>
          <w:sz w:val="28"/>
          <w:szCs w:val="28"/>
          <w:lang/>
        </w:rPr>
        <w:fldChar w:fldCharType="begin"/>
      </w:r>
      <w:r>
        <w:rPr>
          <w:rFonts w:ascii="宋体" w:hAnsi="宋体" w:eastAsia="宋体"/>
          <w:sz w:val="28"/>
          <w:szCs w:val="28"/>
          <w:lang/>
        </w:rPr>
        <w:instrText xml:space="preserve"> PAGEREF _Toc80282393 \h </w:instrText>
      </w:r>
      <w:r>
        <w:rPr>
          <w:rFonts w:ascii="宋体" w:hAnsi="宋体" w:eastAsia="宋体"/>
          <w:sz w:val="28"/>
          <w:szCs w:val="28"/>
          <w:lang/>
        </w:rPr>
        <w:fldChar w:fldCharType="separate"/>
      </w:r>
      <w:r>
        <w:rPr>
          <w:rFonts w:ascii="宋体" w:hAnsi="宋体" w:eastAsia="宋体"/>
          <w:sz w:val="28"/>
          <w:szCs w:val="28"/>
          <w:lang/>
        </w:rPr>
        <w:t>- 33 -</w:t>
      </w:r>
      <w:r>
        <w:rPr>
          <w:rFonts w:ascii="宋体" w:hAnsi="宋体" w:eastAsia="宋体"/>
          <w:sz w:val="28"/>
          <w:szCs w:val="28"/>
          <w:lang/>
        </w:rPr>
        <w:fldChar w:fldCharType="end"/>
      </w:r>
      <w:r>
        <w:rPr>
          <w:rStyle w:val="15"/>
          <w:rFonts w:ascii="宋体" w:hAnsi="宋体" w:eastAsia="宋体"/>
          <w:sz w:val="28"/>
          <w:szCs w:val="28"/>
          <w:lang/>
        </w:rPr>
        <w:fldChar w:fldCharType="end"/>
      </w:r>
    </w:p>
    <w:p>
      <w:pPr>
        <w:pStyle w:val="9"/>
        <w:tabs>
          <w:tab w:val="right" w:leader="dot" w:pos="9060"/>
        </w:tabs>
        <w:spacing w:line="600" w:lineRule="exact"/>
        <w:ind w:left="648"/>
        <w:rPr>
          <w:rFonts w:ascii="宋体" w:hAnsi="宋体" w:eastAsia="宋体"/>
          <w:sz w:val="28"/>
          <w:szCs w:val="28"/>
          <w:lang/>
        </w:rPr>
      </w:pPr>
      <w:r>
        <w:rPr>
          <w:rStyle w:val="15"/>
          <w:rFonts w:ascii="宋体" w:hAnsi="宋体" w:eastAsia="宋体"/>
          <w:sz w:val="28"/>
          <w:szCs w:val="28"/>
          <w:lang/>
        </w:rPr>
        <w:fldChar w:fldCharType="begin"/>
      </w:r>
      <w:r>
        <w:rPr>
          <w:rStyle w:val="15"/>
          <w:rFonts w:ascii="宋体" w:hAnsi="宋体" w:eastAsia="宋体"/>
          <w:sz w:val="28"/>
          <w:szCs w:val="28"/>
          <w:lang/>
        </w:rPr>
        <w:instrText xml:space="preserve"> </w:instrText>
      </w:r>
      <w:r>
        <w:rPr>
          <w:rFonts w:ascii="宋体" w:hAnsi="宋体" w:eastAsia="宋体"/>
          <w:sz w:val="28"/>
          <w:szCs w:val="28"/>
          <w:lang/>
        </w:rPr>
        <w:instrText xml:space="preserve">HYPERLINK \l "_Toc80282394"</w:instrText>
      </w:r>
      <w:r>
        <w:rPr>
          <w:rStyle w:val="15"/>
          <w:rFonts w:ascii="宋体" w:hAnsi="宋体" w:eastAsia="宋体"/>
          <w:sz w:val="28"/>
          <w:szCs w:val="28"/>
          <w:lang/>
        </w:rPr>
        <w:instrText xml:space="preserve"> </w:instrText>
      </w:r>
      <w:r>
        <w:rPr>
          <w:rStyle w:val="15"/>
          <w:rFonts w:ascii="宋体" w:hAnsi="宋体" w:eastAsia="宋体"/>
          <w:sz w:val="28"/>
          <w:szCs w:val="28"/>
          <w:lang/>
        </w:rPr>
        <w:fldChar w:fldCharType="separate"/>
      </w:r>
      <w:r>
        <w:rPr>
          <w:rStyle w:val="15"/>
          <w:rFonts w:ascii="宋体" w:hAnsi="宋体" w:eastAsia="宋体"/>
          <w:sz w:val="28"/>
          <w:szCs w:val="28"/>
          <w:lang/>
        </w:rPr>
        <w:t>六、一般公共预算财政拨款支出决算表</w:t>
      </w:r>
      <w:r>
        <w:rPr>
          <w:rFonts w:ascii="宋体" w:hAnsi="宋体" w:eastAsia="宋体"/>
          <w:sz w:val="28"/>
          <w:szCs w:val="28"/>
          <w:lang/>
        </w:rPr>
        <w:tab/>
      </w:r>
      <w:r>
        <w:rPr>
          <w:rFonts w:ascii="宋体" w:hAnsi="宋体" w:eastAsia="宋体"/>
          <w:sz w:val="28"/>
          <w:szCs w:val="28"/>
          <w:lang/>
        </w:rPr>
        <w:fldChar w:fldCharType="begin"/>
      </w:r>
      <w:r>
        <w:rPr>
          <w:rFonts w:ascii="宋体" w:hAnsi="宋体" w:eastAsia="宋体"/>
          <w:sz w:val="28"/>
          <w:szCs w:val="28"/>
          <w:lang/>
        </w:rPr>
        <w:instrText xml:space="preserve"> PAGEREF _Toc80282394 \h </w:instrText>
      </w:r>
      <w:r>
        <w:rPr>
          <w:rFonts w:ascii="宋体" w:hAnsi="宋体" w:eastAsia="宋体"/>
          <w:sz w:val="28"/>
          <w:szCs w:val="28"/>
          <w:lang/>
        </w:rPr>
        <w:fldChar w:fldCharType="separate"/>
      </w:r>
      <w:r>
        <w:rPr>
          <w:rFonts w:ascii="宋体" w:hAnsi="宋体" w:eastAsia="宋体"/>
          <w:sz w:val="28"/>
          <w:szCs w:val="28"/>
          <w:lang/>
        </w:rPr>
        <w:t>- 33 -</w:t>
      </w:r>
      <w:r>
        <w:rPr>
          <w:rFonts w:ascii="宋体" w:hAnsi="宋体" w:eastAsia="宋体"/>
          <w:sz w:val="28"/>
          <w:szCs w:val="28"/>
          <w:lang/>
        </w:rPr>
        <w:fldChar w:fldCharType="end"/>
      </w:r>
      <w:r>
        <w:rPr>
          <w:rStyle w:val="15"/>
          <w:rFonts w:ascii="宋体" w:hAnsi="宋体" w:eastAsia="宋体"/>
          <w:sz w:val="28"/>
          <w:szCs w:val="28"/>
          <w:lang/>
        </w:rPr>
        <w:fldChar w:fldCharType="end"/>
      </w:r>
    </w:p>
    <w:p>
      <w:pPr>
        <w:pStyle w:val="9"/>
        <w:tabs>
          <w:tab w:val="right" w:leader="dot" w:pos="9060"/>
        </w:tabs>
        <w:spacing w:line="600" w:lineRule="exact"/>
        <w:ind w:left="648"/>
        <w:rPr>
          <w:rFonts w:ascii="宋体" w:hAnsi="宋体" w:eastAsia="宋体"/>
          <w:sz w:val="28"/>
          <w:szCs w:val="28"/>
          <w:lang/>
        </w:rPr>
      </w:pPr>
      <w:r>
        <w:rPr>
          <w:rStyle w:val="15"/>
          <w:rFonts w:ascii="宋体" w:hAnsi="宋体" w:eastAsia="宋体"/>
          <w:sz w:val="28"/>
          <w:szCs w:val="28"/>
          <w:lang/>
        </w:rPr>
        <w:fldChar w:fldCharType="begin"/>
      </w:r>
      <w:r>
        <w:rPr>
          <w:rStyle w:val="15"/>
          <w:rFonts w:ascii="宋体" w:hAnsi="宋体" w:eastAsia="宋体"/>
          <w:sz w:val="28"/>
          <w:szCs w:val="28"/>
          <w:lang/>
        </w:rPr>
        <w:instrText xml:space="preserve"> </w:instrText>
      </w:r>
      <w:r>
        <w:rPr>
          <w:rFonts w:ascii="宋体" w:hAnsi="宋体" w:eastAsia="宋体"/>
          <w:sz w:val="28"/>
          <w:szCs w:val="28"/>
          <w:lang/>
        </w:rPr>
        <w:instrText xml:space="preserve">HYPERLINK \l "_Toc80282395"</w:instrText>
      </w:r>
      <w:r>
        <w:rPr>
          <w:rStyle w:val="15"/>
          <w:rFonts w:ascii="宋体" w:hAnsi="宋体" w:eastAsia="宋体"/>
          <w:sz w:val="28"/>
          <w:szCs w:val="28"/>
          <w:lang/>
        </w:rPr>
        <w:instrText xml:space="preserve"> </w:instrText>
      </w:r>
      <w:r>
        <w:rPr>
          <w:rStyle w:val="15"/>
          <w:rFonts w:ascii="宋体" w:hAnsi="宋体" w:eastAsia="宋体"/>
          <w:sz w:val="28"/>
          <w:szCs w:val="28"/>
          <w:lang/>
        </w:rPr>
        <w:fldChar w:fldCharType="separate"/>
      </w:r>
      <w:r>
        <w:rPr>
          <w:rStyle w:val="15"/>
          <w:rFonts w:ascii="宋体" w:hAnsi="宋体" w:eastAsia="宋体"/>
          <w:sz w:val="28"/>
          <w:szCs w:val="28"/>
          <w:lang/>
        </w:rPr>
        <w:t>七、一般公共预算财政拨款支出决算明细表</w:t>
      </w:r>
      <w:r>
        <w:rPr>
          <w:rFonts w:ascii="宋体" w:hAnsi="宋体" w:eastAsia="宋体"/>
          <w:sz w:val="28"/>
          <w:szCs w:val="28"/>
          <w:lang/>
        </w:rPr>
        <w:tab/>
      </w:r>
      <w:r>
        <w:rPr>
          <w:rFonts w:ascii="宋体" w:hAnsi="宋体" w:eastAsia="宋体"/>
          <w:sz w:val="28"/>
          <w:szCs w:val="28"/>
          <w:lang/>
        </w:rPr>
        <w:fldChar w:fldCharType="begin"/>
      </w:r>
      <w:r>
        <w:rPr>
          <w:rFonts w:ascii="宋体" w:hAnsi="宋体" w:eastAsia="宋体"/>
          <w:sz w:val="28"/>
          <w:szCs w:val="28"/>
          <w:lang/>
        </w:rPr>
        <w:instrText xml:space="preserve"> PAGEREF _Toc80282395 \h </w:instrText>
      </w:r>
      <w:r>
        <w:rPr>
          <w:rFonts w:ascii="宋体" w:hAnsi="宋体" w:eastAsia="宋体"/>
          <w:sz w:val="28"/>
          <w:szCs w:val="28"/>
          <w:lang/>
        </w:rPr>
        <w:fldChar w:fldCharType="separate"/>
      </w:r>
      <w:r>
        <w:rPr>
          <w:rFonts w:ascii="宋体" w:hAnsi="宋体" w:eastAsia="宋体"/>
          <w:sz w:val="28"/>
          <w:szCs w:val="28"/>
          <w:lang/>
        </w:rPr>
        <w:t>- 33 -</w:t>
      </w:r>
      <w:r>
        <w:rPr>
          <w:rFonts w:ascii="宋体" w:hAnsi="宋体" w:eastAsia="宋体"/>
          <w:sz w:val="28"/>
          <w:szCs w:val="28"/>
          <w:lang/>
        </w:rPr>
        <w:fldChar w:fldCharType="end"/>
      </w:r>
      <w:r>
        <w:rPr>
          <w:rStyle w:val="15"/>
          <w:rFonts w:ascii="宋体" w:hAnsi="宋体" w:eastAsia="宋体"/>
          <w:sz w:val="28"/>
          <w:szCs w:val="28"/>
          <w:lang/>
        </w:rPr>
        <w:fldChar w:fldCharType="end"/>
      </w:r>
    </w:p>
    <w:p>
      <w:pPr>
        <w:pStyle w:val="9"/>
        <w:tabs>
          <w:tab w:val="right" w:leader="dot" w:pos="9060"/>
        </w:tabs>
        <w:spacing w:line="600" w:lineRule="exact"/>
        <w:ind w:left="648"/>
        <w:rPr>
          <w:rFonts w:ascii="宋体" w:hAnsi="宋体" w:eastAsia="宋体"/>
          <w:sz w:val="28"/>
          <w:szCs w:val="28"/>
          <w:lang/>
        </w:rPr>
      </w:pPr>
      <w:r>
        <w:rPr>
          <w:rStyle w:val="15"/>
          <w:rFonts w:ascii="宋体" w:hAnsi="宋体" w:eastAsia="宋体"/>
          <w:sz w:val="28"/>
          <w:szCs w:val="28"/>
          <w:lang/>
        </w:rPr>
        <w:fldChar w:fldCharType="begin"/>
      </w:r>
      <w:r>
        <w:rPr>
          <w:rStyle w:val="15"/>
          <w:rFonts w:ascii="宋体" w:hAnsi="宋体" w:eastAsia="宋体"/>
          <w:sz w:val="28"/>
          <w:szCs w:val="28"/>
          <w:lang/>
        </w:rPr>
        <w:instrText xml:space="preserve"> </w:instrText>
      </w:r>
      <w:r>
        <w:rPr>
          <w:rFonts w:ascii="宋体" w:hAnsi="宋体" w:eastAsia="宋体"/>
          <w:sz w:val="28"/>
          <w:szCs w:val="28"/>
          <w:lang/>
        </w:rPr>
        <w:instrText xml:space="preserve">HYPERLINK \l "_Toc80282396"</w:instrText>
      </w:r>
      <w:r>
        <w:rPr>
          <w:rStyle w:val="15"/>
          <w:rFonts w:ascii="宋体" w:hAnsi="宋体" w:eastAsia="宋体"/>
          <w:sz w:val="28"/>
          <w:szCs w:val="28"/>
          <w:lang/>
        </w:rPr>
        <w:instrText xml:space="preserve"> </w:instrText>
      </w:r>
      <w:r>
        <w:rPr>
          <w:rStyle w:val="15"/>
          <w:rFonts w:ascii="宋体" w:hAnsi="宋体" w:eastAsia="宋体"/>
          <w:sz w:val="28"/>
          <w:szCs w:val="28"/>
          <w:lang/>
        </w:rPr>
        <w:fldChar w:fldCharType="separate"/>
      </w:r>
      <w:r>
        <w:rPr>
          <w:rStyle w:val="15"/>
          <w:rFonts w:ascii="宋体" w:hAnsi="宋体" w:eastAsia="宋体"/>
          <w:sz w:val="28"/>
          <w:szCs w:val="28"/>
          <w:lang/>
        </w:rPr>
        <w:t>八、一般公共预算财政拨款基本支出决算表</w:t>
      </w:r>
      <w:r>
        <w:rPr>
          <w:rFonts w:ascii="宋体" w:hAnsi="宋体" w:eastAsia="宋体"/>
          <w:sz w:val="28"/>
          <w:szCs w:val="28"/>
          <w:lang/>
        </w:rPr>
        <w:tab/>
      </w:r>
      <w:r>
        <w:rPr>
          <w:rFonts w:ascii="宋体" w:hAnsi="宋体" w:eastAsia="宋体"/>
          <w:sz w:val="28"/>
          <w:szCs w:val="28"/>
          <w:lang/>
        </w:rPr>
        <w:fldChar w:fldCharType="begin"/>
      </w:r>
      <w:r>
        <w:rPr>
          <w:rFonts w:ascii="宋体" w:hAnsi="宋体" w:eastAsia="宋体"/>
          <w:sz w:val="28"/>
          <w:szCs w:val="28"/>
          <w:lang/>
        </w:rPr>
        <w:instrText xml:space="preserve"> PAGEREF _Toc80282396 \h </w:instrText>
      </w:r>
      <w:r>
        <w:rPr>
          <w:rFonts w:ascii="宋体" w:hAnsi="宋体" w:eastAsia="宋体"/>
          <w:sz w:val="28"/>
          <w:szCs w:val="28"/>
          <w:lang/>
        </w:rPr>
        <w:fldChar w:fldCharType="separate"/>
      </w:r>
      <w:r>
        <w:rPr>
          <w:rFonts w:ascii="宋体" w:hAnsi="宋体" w:eastAsia="宋体"/>
          <w:sz w:val="28"/>
          <w:szCs w:val="28"/>
          <w:lang/>
        </w:rPr>
        <w:t>- 33 -</w:t>
      </w:r>
      <w:r>
        <w:rPr>
          <w:rFonts w:ascii="宋体" w:hAnsi="宋体" w:eastAsia="宋体"/>
          <w:sz w:val="28"/>
          <w:szCs w:val="28"/>
          <w:lang/>
        </w:rPr>
        <w:fldChar w:fldCharType="end"/>
      </w:r>
      <w:r>
        <w:rPr>
          <w:rStyle w:val="15"/>
          <w:rFonts w:ascii="宋体" w:hAnsi="宋体" w:eastAsia="宋体"/>
          <w:sz w:val="28"/>
          <w:szCs w:val="28"/>
          <w:lang/>
        </w:rPr>
        <w:fldChar w:fldCharType="end"/>
      </w:r>
    </w:p>
    <w:p>
      <w:pPr>
        <w:pStyle w:val="9"/>
        <w:tabs>
          <w:tab w:val="right" w:leader="dot" w:pos="9060"/>
        </w:tabs>
        <w:spacing w:line="600" w:lineRule="exact"/>
        <w:ind w:left="648"/>
        <w:rPr>
          <w:rFonts w:ascii="宋体" w:hAnsi="宋体" w:eastAsia="宋体"/>
          <w:sz w:val="28"/>
          <w:szCs w:val="28"/>
          <w:lang/>
        </w:rPr>
      </w:pPr>
      <w:r>
        <w:rPr>
          <w:rStyle w:val="15"/>
          <w:rFonts w:ascii="宋体" w:hAnsi="宋体" w:eastAsia="宋体"/>
          <w:sz w:val="28"/>
          <w:szCs w:val="28"/>
          <w:lang/>
        </w:rPr>
        <w:fldChar w:fldCharType="begin"/>
      </w:r>
      <w:r>
        <w:rPr>
          <w:rStyle w:val="15"/>
          <w:rFonts w:ascii="宋体" w:hAnsi="宋体" w:eastAsia="宋体"/>
          <w:sz w:val="28"/>
          <w:szCs w:val="28"/>
          <w:lang/>
        </w:rPr>
        <w:instrText xml:space="preserve"> </w:instrText>
      </w:r>
      <w:r>
        <w:rPr>
          <w:rFonts w:ascii="宋体" w:hAnsi="宋体" w:eastAsia="宋体"/>
          <w:sz w:val="28"/>
          <w:szCs w:val="28"/>
          <w:lang/>
        </w:rPr>
        <w:instrText xml:space="preserve">HYPERLINK \l "_Toc80282397"</w:instrText>
      </w:r>
      <w:r>
        <w:rPr>
          <w:rStyle w:val="15"/>
          <w:rFonts w:ascii="宋体" w:hAnsi="宋体" w:eastAsia="宋体"/>
          <w:sz w:val="28"/>
          <w:szCs w:val="28"/>
          <w:lang/>
        </w:rPr>
        <w:instrText xml:space="preserve"> </w:instrText>
      </w:r>
      <w:r>
        <w:rPr>
          <w:rStyle w:val="15"/>
          <w:rFonts w:ascii="宋体" w:hAnsi="宋体" w:eastAsia="宋体"/>
          <w:sz w:val="28"/>
          <w:szCs w:val="28"/>
          <w:lang/>
        </w:rPr>
        <w:fldChar w:fldCharType="separate"/>
      </w:r>
      <w:r>
        <w:rPr>
          <w:rStyle w:val="15"/>
          <w:rFonts w:ascii="宋体" w:hAnsi="宋体" w:eastAsia="宋体"/>
          <w:sz w:val="28"/>
          <w:szCs w:val="28"/>
          <w:lang/>
        </w:rPr>
        <w:t>九、一般公共预算财政拨款项目支出决算表</w:t>
      </w:r>
      <w:r>
        <w:rPr>
          <w:rFonts w:ascii="宋体" w:hAnsi="宋体" w:eastAsia="宋体"/>
          <w:sz w:val="28"/>
          <w:szCs w:val="28"/>
          <w:lang/>
        </w:rPr>
        <w:tab/>
      </w:r>
      <w:r>
        <w:rPr>
          <w:rFonts w:ascii="宋体" w:hAnsi="宋体" w:eastAsia="宋体"/>
          <w:sz w:val="28"/>
          <w:szCs w:val="28"/>
          <w:lang/>
        </w:rPr>
        <w:fldChar w:fldCharType="begin"/>
      </w:r>
      <w:r>
        <w:rPr>
          <w:rFonts w:ascii="宋体" w:hAnsi="宋体" w:eastAsia="宋体"/>
          <w:sz w:val="28"/>
          <w:szCs w:val="28"/>
          <w:lang/>
        </w:rPr>
        <w:instrText xml:space="preserve"> PAGEREF _Toc80282397 \h </w:instrText>
      </w:r>
      <w:r>
        <w:rPr>
          <w:rFonts w:ascii="宋体" w:hAnsi="宋体" w:eastAsia="宋体"/>
          <w:sz w:val="28"/>
          <w:szCs w:val="28"/>
          <w:lang/>
        </w:rPr>
        <w:fldChar w:fldCharType="separate"/>
      </w:r>
      <w:r>
        <w:rPr>
          <w:rFonts w:ascii="宋体" w:hAnsi="宋体" w:eastAsia="宋体"/>
          <w:sz w:val="28"/>
          <w:szCs w:val="28"/>
          <w:lang/>
        </w:rPr>
        <w:t>- 33 -</w:t>
      </w:r>
      <w:r>
        <w:rPr>
          <w:rFonts w:ascii="宋体" w:hAnsi="宋体" w:eastAsia="宋体"/>
          <w:sz w:val="28"/>
          <w:szCs w:val="28"/>
          <w:lang/>
        </w:rPr>
        <w:fldChar w:fldCharType="end"/>
      </w:r>
      <w:r>
        <w:rPr>
          <w:rStyle w:val="15"/>
          <w:rFonts w:ascii="宋体" w:hAnsi="宋体" w:eastAsia="宋体"/>
          <w:sz w:val="28"/>
          <w:szCs w:val="28"/>
          <w:lang/>
        </w:rPr>
        <w:fldChar w:fldCharType="end"/>
      </w:r>
    </w:p>
    <w:p>
      <w:pPr>
        <w:pStyle w:val="9"/>
        <w:tabs>
          <w:tab w:val="right" w:leader="dot" w:pos="9060"/>
        </w:tabs>
        <w:spacing w:line="600" w:lineRule="exact"/>
        <w:ind w:left="648"/>
        <w:rPr>
          <w:rFonts w:ascii="宋体" w:hAnsi="宋体" w:eastAsia="宋体"/>
          <w:sz w:val="28"/>
          <w:szCs w:val="28"/>
          <w:lang/>
        </w:rPr>
      </w:pPr>
      <w:r>
        <w:rPr>
          <w:rStyle w:val="15"/>
          <w:rFonts w:ascii="宋体" w:hAnsi="宋体" w:eastAsia="宋体"/>
          <w:sz w:val="28"/>
          <w:szCs w:val="28"/>
          <w:lang/>
        </w:rPr>
        <w:fldChar w:fldCharType="begin"/>
      </w:r>
      <w:r>
        <w:rPr>
          <w:rStyle w:val="15"/>
          <w:rFonts w:ascii="宋体" w:hAnsi="宋体" w:eastAsia="宋体"/>
          <w:sz w:val="28"/>
          <w:szCs w:val="28"/>
          <w:lang/>
        </w:rPr>
        <w:instrText xml:space="preserve"> </w:instrText>
      </w:r>
      <w:r>
        <w:rPr>
          <w:rFonts w:ascii="宋体" w:hAnsi="宋体" w:eastAsia="宋体"/>
          <w:sz w:val="28"/>
          <w:szCs w:val="28"/>
          <w:lang/>
        </w:rPr>
        <w:instrText xml:space="preserve">HYPERLINK \l "_Toc80282398"</w:instrText>
      </w:r>
      <w:r>
        <w:rPr>
          <w:rStyle w:val="15"/>
          <w:rFonts w:ascii="宋体" w:hAnsi="宋体" w:eastAsia="宋体"/>
          <w:sz w:val="28"/>
          <w:szCs w:val="28"/>
          <w:lang/>
        </w:rPr>
        <w:instrText xml:space="preserve"> </w:instrText>
      </w:r>
      <w:r>
        <w:rPr>
          <w:rStyle w:val="15"/>
          <w:rFonts w:ascii="宋体" w:hAnsi="宋体" w:eastAsia="宋体"/>
          <w:sz w:val="28"/>
          <w:szCs w:val="28"/>
          <w:lang/>
        </w:rPr>
        <w:fldChar w:fldCharType="separate"/>
      </w:r>
      <w:r>
        <w:rPr>
          <w:rStyle w:val="15"/>
          <w:rFonts w:ascii="宋体" w:hAnsi="宋体" w:eastAsia="宋体"/>
          <w:sz w:val="28"/>
          <w:szCs w:val="28"/>
          <w:lang/>
        </w:rPr>
        <w:t>十、一般公共预算财政拨款“三公”经费支出决算表</w:t>
      </w:r>
      <w:r>
        <w:rPr>
          <w:rFonts w:ascii="宋体" w:hAnsi="宋体" w:eastAsia="宋体"/>
          <w:sz w:val="28"/>
          <w:szCs w:val="28"/>
          <w:lang/>
        </w:rPr>
        <w:tab/>
      </w:r>
      <w:r>
        <w:rPr>
          <w:rFonts w:ascii="宋体" w:hAnsi="宋体" w:eastAsia="宋体"/>
          <w:sz w:val="28"/>
          <w:szCs w:val="28"/>
          <w:lang/>
        </w:rPr>
        <w:fldChar w:fldCharType="begin"/>
      </w:r>
      <w:r>
        <w:rPr>
          <w:rFonts w:ascii="宋体" w:hAnsi="宋体" w:eastAsia="宋体"/>
          <w:sz w:val="28"/>
          <w:szCs w:val="28"/>
          <w:lang/>
        </w:rPr>
        <w:instrText xml:space="preserve"> PAGEREF _Toc80282398 \h </w:instrText>
      </w:r>
      <w:r>
        <w:rPr>
          <w:rFonts w:ascii="宋体" w:hAnsi="宋体" w:eastAsia="宋体"/>
          <w:sz w:val="28"/>
          <w:szCs w:val="28"/>
          <w:lang/>
        </w:rPr>
        <w:fldChar w:fldCharType="separate"/>
      </w:r>
      <w:r>
        <w:rPr>
          <w:rFonts w:ascii="宋体" w:hAnsi="宋体" w:eastAsia="宋体"/>
          <w:sz w:val="28"/>
          <w:szCs w:val="28"/>
          <w:lang/>
        </w:rPr>
        <w:t>- 33 -</w:t>
      </w:r>
      <w:r>
        <w:rPr>
          <w:rFonts w:ascii="宋体" w:hAnsi="宋体" w:eastAsia="宋体"/>
          <w:sz w:val="28"/>
          <w:szCs w:val="28"/>
          <w:lang/>
        </w:rPr>
        <w:fldChar w:fldCharType="end"/>
      </w:r>
      <w:r>
        <w:rPr>
          <w:rStyle w:val="15"/>
          <w:rFonts w:ascii="宋体" w:hAnsi="宋体" w:eastAsia="宋体"/>
          <w:sz w:val="28"/>
          <w:szCs w:val="28"/>
          <w:lang/>
        </w:rPr>
        <w:fldChar w:fldCharType="end"/>
      </w:r>
    </w:p>
    <w:p>
      <w:pPr>
        <w:pStyle w:val="9"/>
        <w:tabs>
          <w:tab w:val="right" w:leader="dot" w:pos="9060"/>
        </w:tabs>
        <w:spacing w:line="600" w:lineRule="exact"/>
        <w:ind w:left="648"/>
        <w:rPr>
          <w:rFonts w:ascii="宋体" w:hAnsi="宋体" w:eastAsia="宋体"/>
          <w:sz w:val="28"/>
          <w:szCs w:val="28"/>
          <w:lang/>
        </w:rPr>
      </w:pPr>
      <w:r>
        <w:rPr>
          <w:rStyle w:val="15"/>
          <w:rFonts w:ascii="宋体" w:hAnsi="宋体" w:eastAsia="宋体"/>
          <w:sz w:val="28"/>
          <w:szCs w:val="28"/>
          <w:lang/>
        </w:rPr>
        <w:fldChar w:fldCharType="begin"/>
      </w:r>
      <w:r>
        <w:rPr>
          <w:rStyle w:val="15"/>
          <w:rFonts w:ascii="宋体" w:hAnsi="宋体" w:eastAsia="宋体"/>
          <w:sz w:val="28"/>
          <w:szCs w:val="28"/>
          <w:lang/>
        </w:rPr>
        <w:instrText xml:space="preserve"> </w:instrText>
      </w:r>
      <w:r>
        <w:rPr>
          <w:rFonts w:ascii="宋体" w:hAnsi="宋体" w:eastAsia="宋体"/>
          <w:sz w:val="28"/>
          <w:szCs w:val="28"/>
          <w:lang/>
        </w:rPr>
        <w:instrText xml:space="preserve">HYPERLINK \l "_Toc80282399"</w:instrText>
      </w:r>
      <w:r>
        <w:rPr>
          <w:rStyle w:val="15"/>
          <w:rFonts w:ascii="宋体" w:hAnsi="宋体" w:eastAsia="宋体"/>
          <w:sz w:val="28"/>
          <w:szCs w:val="28"/>
          <w:lang/>
        </w:rPr>
        <w:instrText xml:space="preserve"> </w:instrText>
      </w:r>
      <w:r>
        <w:rPr>
          <w:rStyle w:val="15"/>
          <w:rFonts w:ascii="宋体" w:hAnsi="宋体" w:eastAsia="宋体"/>
          <w:sz w:val="28"/>
          <w:szCs w:val="28"/>
          <w:lang/>
        </w:rPr>
        <w:fldChar w:fldCharType="separate"/>
      </w:r>
      <w:r>
        <w:rPr>
          <w:rStyle w:val="15"/>
          <w:rFonts w:ascii="宋体" w:hAnsi="宋体" w:eastAsia="宋体"/>
          <w:sz w:val="28"/>
          <w:szCs w:val="28"/>
          <w:lang/>
        </w:rPr>
        <w:t>十一、政府性基金预算财政拨款收入支出决算表</w:t>
      </w:r>
      <w:r>
        <w:rPr>
          <w:rFonts w:ascii="宋体" w:hAnsi="宋体" w:eastAsia="宋体"/>
          <w:sz w:val="28"/>
          <w:szCs w:val="28"/>
          <w:lang/>
        </w:rPr>
        <w:tab/>
      </w:r>
      <w:r>
        <w:rPr>
          <w:rFonts w:ascii="宋体" w:hAnsi="宋体" w:eastAsia="宋体"/>
          <w:sz w:val="28"/>
          <w:szCs w:val="28"/>
          <w:lang/>
        </w:rPr>
        <w:fldChar w:fldCharType="begin"/>
      </w:r>
      <w:r>
        <w:rPr>
          <w:rFonts w:ascii="宋体" w:hAnsi="宋体" w:eastAsia="宋体"/>
          <w:sz w:val="28"/>
          <w:szCs w:val="28"/>
          <w:lang/>
        </w:rPr>
        <w:instrText xml:space="preserve"> PAGEREF _Toc80282399 \h </w:instrText>
      </w:r>
      <w:r>
        <w:rPr>
          <w:rFonts w:ascii="宋体" w:hAnsi="宋体" w:eastAsia="宋体"/>
          <w:sz w:val="28"/>
          <w:szCs w:val="28"/>
          <w:lang/>
        </w:rPr>
        <w:fldChar w:fldCharType="separate"/>
      </w:r>
      <w:r>
        <w:rPr>
          <w:rFonts w:ascii="宋体" w:hAnsi="宋体" w:eastAsia="宋体"/>
          <w:sz w:val="28"/>
          <w:szCs w:val="28"/>
          <w:lang/>
        </w:rPr>
        <w:t>- 33 -</w:t>
      </w:r>
      <w:r>
        <w:rPr>
          <w:rFonts w:ascii="宋体" w:hAnsi="宋体" w:eastAsia="宋体"/>
          <w:sz w:val="28"/>
          <w:szCs w:val="28"/>
          <w:lang/>
        </w:rPr>
        <w:fldChar w:fldCharType="end"/>
      </w:r>
      <w:r>
        <w:rPr>
          <w:rStyle w:val="15"/>
          <w:rFonts w:ascii="宋体" w:hAnsi="宋体" w:eastAsia="宋体"/>
          <w:sz w:val="28"/>
          <w:szCs w:val="28"/>
          <w:lang/>
        </w:rPr>
        <w:fldChar w:fldCharType="end"/>
      </w:r>
    </w:p>
    <w:p>
      <w:pPr>
        <w:pStyle w:val="9"/>
        <w:tabs>
          <w:tab w:val="right" w:leader="dot" w:pos="9060"/>
        </w:tabs>
        <w:spacing w:line="600" w:lineRule="exact"/>
        <w:ind w:left="648"/>
        <w:rPr>
          <w:rFonts w:ascii="宋体" w:hAnsi="宋体" w:eastAsia="宋体"/>
          <w:sz w:val="28"/>
          <w:szCs w:val="28"/>
          <w:lang/>
        </w:rPr>
      </w:pPr>
      <w:r>
        <w:rPr>
          <w:rStyle w:val="15"/>
          <w:rFonts w:ascii="宋体" w:hAnsi="宋体" w:eastAsia="宋体"/>
          <w:sz w:val="28"/>
          <w:szCs w:val="28"/>
          <w:lang/>
        </w:rPr>
        <w:fldChar w:fldCharType="begin"/>
      </w:r>
      <w:r>
        <w:rPr>
          <w:rStyle w:val="15"/>
          <w:rFonts w:ascii="宋体" w:hAnsi="宋体" w:eastAsia="宋体"/>
          <w:sz w:val="28"/>
          <w:szCs w:val="28"/>
          <w:lang/>
        </w:rPr>
        <w:instrText xml:space="preserve"> </w:instrText>
      </w:r>
      <w:r>
        <w:rPr>
          <w:rFonts w:ascii="宋体" w:hAnsi="宋体" w:eastAsia="宋体"/>
          <w:sz w:val="28"/>
          <w:szCs w:val="28"/>
          <w:lang/>
        </w:rPr>
        <w:instrText xml:space="preserve">HYPERLINK \l "_Toc80282400"</w:instrText>
      </w:r>
      <w:r>
        <w:rPr>
          <w:rStyle w:val="15"/>
          <w:rFonts w:ascii="宋体" w:hAnsi="宋体" w:eastAsia="宋体"/>
          <w:sz w:val="28"/>
          <w:szCs w:val="28"/>
          <w:lang/>
        </w:rPr>
        <w:instrText xml:space="preserve"> </w:instrText>
      </w:r>
      <w:r>
        <w:rPr>
          <w:rStyle w:val="15"/>
          <w:rFonts w:ascii="宋体" w:hAnsi="宋体" w:eastAsia="宋体"/>
          <w:sz w:val="28"/>
          <w:szCs w:val="28"/>
          <w:lang/>
        </w:rPr>
        <w:fldChar w:fldCharType="separate"/>
      </w:r>
      <w:r>
        <w:rPr>
          <w:rStyle w:val="15"/>
          <w:rFonts w:ascii="宋体" w:hAnsi="宋体" w:eastAsia="宋体"/>
          <w:sz w:val="28"/>
          <w:szCs w:val="28"/>
          <w:lang/>
        </w:rPr>
        <w:t>十二、政府性基金预算财政拨款“三公”经费支出决算表</w:t>
      </w:r>
      <w:r>
        <w:rPr>
          <w:rFonts w:ascii="宋体" w:hAnsi="宋体" w:eastAsia="宋体"/>
          <w:sz w:val="28"/>
          <w:szCs w:val="28"/>
          <w:lang/>
        </w:rPr>
        <w:tab/>
      </w:r>
      <w:r>
        <w:rPr>
          <w:rFonts w:ascii="宋体" w:hAnsi="宋体" w:eastAsia="宋体"/>
          <w:sz w:val="28"/>
          <w:szCs w:val="28"/>
          <w:lang/>
        </w:rPr>
        <w:fldChar w:fldCharType="begin"/>
      </w:r>
      <w:r>
        <w:rPr>
          <w:rFonts w:ascii="宋体" w:hAnsi="宋体" w:eastAsia="宋体"/>
          <w:sz w:val="28"/>
          <w:szCs w:val="28"/>
          <w:lang/>
        </w:rPr>
        <w:instrText xml:space="preserve"> PAGEREF _Toc80282400 \h </w:instrText>
      </w:r>
      <w:r>
        <w:rPr>
          <w:rFonts w:ascii="宋体" w:hAnsi="宋体" w:eastAsia="宋体"/>
          <w:sz w:val="28"/>
          <w:szCs w:val="28"/>
          <w:lang/>
        </w:rPr>
        <w:fldChar w:fldCharType="separate"/>
      </w:r>
      <w:r>
        <w:rPr>
          <w:rFonts w:ascii="宋体" w:hAnsi="宋体" w:eastAsia="宋体"/>
          <w:sz w:val="28"/>
          <w:szCs w:val="28"/>
          <w:lang/>
        </w:rPr>
        <w:t>- 33 -</w:t>
      </w:r>
      <w:r>
        <w:rPr>
          <w:rFonts w:ascii="宋体" w:hAnsi="宋体" w:eastAsia="宋体"/>
          <w:sz w:val="28"/>
          <w:szCs w:val="28"/>
          <w:lang/>
        </w:rPr>
        <w:fldChar w:fldCharType="end"/>
      </w:r>
      <w:r>
        <w:rPr>
          <w:rStyle w:val="15"/>
          <w:rFonts w:ascii="宋体" w:hAnsi="宋体" w:eastAsia="宋体"/>
          <w:sz w:val="28"/>
          <w:szCs w:val="28"/>
          <w:lang/>
        </w:rPr>
        <w:fldChar w:fldCharType="end"/>
      </w:r>
    </w:p>
    <w:p>
      <w:pPr>
        <w:pStyle w:val="9"/>
        <w:tabs>
          <w:tab w:val="right" w:leader="dot" w:pos="9060"/>
        </w:tabs>
        <w:spacing w:line="600" w:lineRule="exact"/>
        <w:ind w:left="648"/>
        <w:rPr>
          <w:rFonts w:ascii="宋体" w:hAnsi="宋体" w:eastAsia="宋体"/>
          <w:sz w:val="28"/>
          <w:szCs w:val="28"/>
          <w:lang/>
        </w:rPr>
      </w:pPr>
      <w:r>
        <w:rPr>
          <w:rStyle w:val="15"/>
          <w:rFonts w:ascii="宋体" w:hAnsi="宋体" w:eastAsia="宋体"/>
          <w:sz w:val="28"/>
          <w:szCs w:val="28"/>
          <w:lang/>
        </w:rPr>
        <w:fldChar w:fldCharType="begin"/>
      </w:r>
      <w:r>
        <w:rPr>
          <w:rStyle w:val="15"/>
          <w:rFonts w:ascii="宋体" w:hAnsi="宋体" w:eastAsia="宋体"/>
          <w:sz w:val="28"/>
          <w:szCs w:val="28"/>
          <w:lang/>
        </w:rPr>
        <w:instrText xml:space="preserve"> </w:instrText>
      </w:r>
      <w:r>
        <w:rPr>
          <w:rFonts w:ascii="宋体" w:hAnsi="宋体" w:eastAsia="宋体"/>
          <w:sz w:val="28"/>
          <w:szCs w:val="28"/>
          <w:lang/>
        </w:rPr>
        <w:instrText xml:space="preserve">HYPERLINK \l "_Toc80282401"</w:instrText>
      </w:r>
      <w:r>
        <w:rPr>
          <w:rStyle w:val="15"/>
          <w:rFonts w:ascii="宋体" w:hAnsi="宋体" w:eastAsia="宋体"/>
          <w:sz w:val="28"/>
          <w:szCs w:val="28"/>
          <w:lang/>
        </w:rPr>
        <w:instrText xml:space="preserve"> </w:instrText>
      </w:r>
      <w:r>
        <w:rPr>
          <w:rStyle w:val="15"/>
          <w:rFonts w:ascii="宋体" w:hAnsi="宋体" w:eastAsia="宋体"/>
          <w:sz w:val="28"/>
          <w:szCs w:val="28"/>
          <w:lang/>
        </w:rPr>
        <w:fldChar w:fldCharType="separate"/>
      </w:r>
      <w:r>
        <w:rPr>
          <w:rStyle w:val="15"/>
          <w:rFonts w:ascii="宋体" w:hAnsi="宋体" w:eastAsia="宋体"/>
          <w:sz w:val="28"/>
          <w:szCs w:val="28"/>
          <w:lang/>
        </w:rPr>
        <w:t>十三、国有资本经营预算财政拨款收入支出决算表</w:t>
      </w:r>
      <w:r>
        <w:rPr>
          <w:rFonts w:ascii="宋体" w:hAnsi="宋体" w:eastAsia="宋体"/>
          <w:sz w:val="28"/>
          <w:szCs w:val="28"/>
          <w:lang/>
        </w:rPr>
        <w:tab/>
      </w:r>
      <w:r>
        <w:rPr>
          <w:rFonts w:ascii="宋体" w:hAnsi="宋体" w:eastAsia="宋体"/>
          <w:sz w:val="28"/>
          <w:szCs w:val="28"/>
          <w:lang/>
        </w:rPr>
        <w:fldChar w:fldCharType="begin"/>
      </w:r>
      <w:r>
        <w:rPr>
          <w:rFonts w:ascii="宋体" w:hAnsi="宋体" w:eastAsia="宋体"/>
          <w:sz w:val="28"/>
          <w:szCs w:val="28"/>
          <w:lang/>
        </w:rPr>
        <w:instrText xml:space="preserve"> PAGEREF _Toc80282401 \h </w:instrText>
      </w:r>
      <w:r>
        <w:rPr>
          <w:rFonts w:ascii="宋体" w:hAnsi="宋体" w:eastAsia="宋体"/>
          <w:sz w:val="28"/>
          <w:szCs w:val="28"/>
          <w:lang/>
        </w:rPr>
        <w:fldChar w:fldCharType="separate"/>
      </w:r>
      <w:r>
        <w:rPr>
          <w:rFonts w:ascii="宋体" w:hAnsi="宋体" w:eastAsia="宋体"/>
          <w:sz w:val="28"/>
          <w:szCs w:val="28"/>
          <w:lang/>
        </w:rPr>
        <w:t>- 33 -</w:t>
      </w:r>
      <w:r>
        <w:rPr>
          <w:rFonts w:ascii="宋体" w:hAnsi="宋体" w:eastAsia="宋体"/>
          <w:sz w:val="28"/>
          <w:szCs w:val="28"/>
          <w:lang/>
        </w:rPr>
        <w:fldChar w:fldCharType="end"/>
      </w:r>
      <w:r>
        <w:rPr>
          <w:rStyle w:val="15"/>
          <w:rFonts w:ascii="宋体" w:hAnsi="宋体" w:eastAsia="宋体"/>
          <w:sz w:val="28"/>
          <w:szCs w:val="28"/>
          <w:lang/>
        </w:rPr>
        <w:fldChar w:fldCharType="end"/>
      </w:r>
    </w:p>
    <w:p>
      <w:pPr>
        <w:pStyle w:val="9"/>
        <w:tabs>
          <w:tab w:val="right" w:leader="dot" w:pos="9060"/>
        </w:tabs>
        <w:spacing w:line="600" w:lineRule="exact"/>
        <w:ind w:left="648"/>
        <w:rPr>
          <w:rFonts w:ascii="宋体" w:hAnsi="宋体" w:eastAsia="宋体"/>
          <w:sz w:val="28"/>
          <w:szCs w:val="28"/>
          <w:lang/>
        </w:rPr>
      </w:pPr>
      <w:r>
        <w:rPr>
          <w:rStyle w:val="15"/>
          <w:rFonts w:ascii="宋体" w:hAnsi="宋体" w:eastAsia="宋体"/>
          <w:sz w:val="28"/>
          <w:szCs w:val="28"/>
          <w:lang/>
        </w:rPr>
        <w:fldChar w:fldCharType="begin"/>
      </w:r>
      <w:r>
        <w:rPr>
          <w:rStyle w:val="15"/>
          <w:rFonts w:ascii="宋体" w:hAnsi="宋体" w:eastAsia="宋体"/>
          <w:sz w:val="28"/>
          <w:szCs w:val="28"/>
          <w:lang/>
        </w:rPr>
        <w:instrText xml:space="preserve"> </w:instrText>
      </w:r>
      <w:r>
        <w:rPr>
          <w:rFonts w:ascii="宋体" w:hAnsi="宋体" w:eastAsia="宋体"/>
          <w:sz w:val="28"/>
          <w:szCs w:val="28"/>
          <w:lang/>
        </w:rPr>
        <w:instrText xml:space="preserve">HYPERLINK \l "_Toc80282402"</w:instrText>
      </w:r>
      <w:r>
        <w:rPr>
          <w:rStyle w:val="15"/>
          <w:rFonts w:ascii="宋体" w:hAnsi="宋体" w:eastAsia="宋体"/>
          <w:sz w:val="28"/>
          <w:szCs w:val="28"/>
          <w:lang/>
        </w:rPr>
        <w:instrText xml:space="preserve"> </w:instrText>
      </w:r>
      <w:r>
        <w:rPr>
          <w:rStyle w:val="15"/>
          <w:rFonts w:ascii="宋体" w:hAnsi="宋体" w:eastAsia="宋体"/>
          <w:sz w:val="28"/>
          <w:szCs w:val="28"/>
          <w:lang/>
        </w:rPr>
        <w:fldChar w:fldCharType="separate"/>
      </w:r>
      <w:r>
        <w:rPr>
          <w:rStyle w:val="15"/>
          <w:rFonts w:ascii="宋体" w:hAnsi="宋体" w:eastAsia="宋体"/>
          <w:sz w:val="28"/>
          <w:szCs w:val="28"/>
          <w:lang/>
        </w:rPr>
        <w:t>十四、国有资本经营预算财政拨款支出决算表</w:t>
      </w:r>
      <w:r>
        <w:rPr>
          <w:rFonts w:ascii="宋体" w:hAnsi="宋体" w:eastAsia="宋体"/>
          <w:sz w:val="28"/>
          <w:szCs w:val="28"/>
          <w:lang/>
        </w:rPr>
        <w:tab/>
      </w:r>
      <w:r>
        <w:rPr>
          <w:rFonts w:ascii="宋体" w:hAnsi="宋体" w:eastAsia="宋体"/>
          <w:sz w:val="28"/>
          <w:szCs w:val="28"/>
          <w:lang/>
        </w:rPr>
        <w:fldChar w:fldCharType="begin"/>
      </w:r>
      <w:r>
        <w:rPr>
          <w:rFonts w:ascii="宋体" w:hAnsi="宋体" w:eastAsia="宋体"/>
          <w:sz w:val="28"/>
          <w:szCs w:val="28"/>
          <w:lang/>
        </w:rPr>
        <w:instrText xml:space="preserve"> PAGEREF _Toc80282402 \h </w:instrText>
      </w:r>
      <w:r>
        <w:rPr>
          <w:rFonts w:ascii="宋体" w:hAnsi="宋体" w:eastAsia="宋体"/>
          <w:sz w:val="28"/>
          <w:szCs w:val="28"/>
          <w:lang/>
        </w:rPr>
        <w:fldChar w:fldCharType="separate"/>
      </w:r>
      <w:r>
        <w:rPr>
          <w:rFonts w:ascii="宋体" w:hAnsi="宋体" w:eastAsia="宋体"/>
          <w:sz w:val="28"/>
          <w:szCs w:val="28"/>
          <w:lang/>
        </w:rPr>
        <w:t>- 33 -</w:t>
      </w:r>
      <w:r>
        <w:rPr>
          <w:rFonts w:ascii="宋体" w:hAnsi="宋体" w:eastAsia="宋体"/>
          <w:sz w:val="28"/>
          <w:szCs w:val="28"/>
          <w:lang/>
        </w:rPr>
        <w:fldChar w:fldCharType="end"/>
      </w:r>
      <w:r>
        <w:rPr>
          <w:rStyle w:val="15"/>
          <w:rFonts w:ascii="宋体" w:hAnsi="宋体" w:eastAsia="宋体"/>
          <w:sz w:val="28"/>
          <w:szCs w:val="28"/>
          <w:lang/>
        </w:rPr>
        <w:fldChar w:fldCharType="end"/>
      </w:r>
    </w:p>
    <w:p>
      <w:pPr>
        <w:spacing w:line="600" w:lineRule="exact"/>
        <w:rPr>
          <w:rFonts w:hint="eastAsia" w:ascii="宋体" w:hAnsi="宋体" w:eastAsia="宋体"/>
          <w:sz w:val="28"/>
          <w:szCs w:val="28"/>
        </w:rPr>
      </w:pPr>
      <w:r>
        <w:rPr>
          <w:rFonts w:ascii="宋体" w:hAnsi="宋体" w:eastAsia="宋体"/>
          <w:b/>
          <w:bCs/>
          <w:sz w:val="28"/>
          <w:szCs w:val="28"/>
          <w:lang w:val="zh-CN"/>
        </w:rPr>
        <w:fldChar w:fldCharType="end"/>
      </w:r>
    </w:p>
    <w:p>
      <w:pPr>
        <w:sectPr>
          <w:pgSz w:w="11906" w:h="16838"/>
          <w:pgMar w:top="1531" w:right="1418" w:bottom="1531" w:left="1418" w:header="851" w:footer="953" w:gutter="0"/>
          <w:pgNumType w:fmt="numberInDash" w:start="1"/>
          <w:cols w:space="720" w:num="1"/>
          <w:docGrid w:type="linesAndChars" w:linePitch="626" w:charSpace="804"/>
        </w:sectPr>
      </w:pPr>
    </w:p>
    <w:p>
      <w:pPr>
        <w:overflowPunct w:val="0"/>
        <w:topLinePunct/>
        <w:spacing w:line="620" w:lineRule="exact"/>
        <w:ind w:firstLine="646" w:firstLineChars="200"/>
      </w:pPr>
    </w:p>
    <w:p>
      <w:pPr>
        <w:pStyle w:val="2"/>
        <w:overflowPunct w:val="0"/>
        <w:spacing w:before="0" w:after="0" w:line="620" w:lineRule="exact"/>
        <w:jc w:val="center"/>
        <w:rPr>
          <w:rFonts w:hint="eastAsia" w:ascii="方正小标宋简体" w:hAnsi="仿宋" w:eastAsia="方正小标宋简体" w:cs="仿宋"/>
          <w:b w:val="0"/>
          <w:sz w:val="32"/>
          <w:szCs w:val="32"/>
        </w:rPr>
      </w:pPr>
      <w:bookmarkStart w:id="0" w:name="_Toc80282369"/>
      <w:r>
        <w:rPr>
          <w:rFonts w:hint="eastAsia" w:ascii="方正小标宋简体" w:hAnsi="仿宋" w:eastAsia="方正小标宋简体" w:cs="仿宋"/>
          <w:b w:val="0"/>
          <w:sz w:val="32"/>
          <w:szCs w:val="32"/>
        </w:rPr>
        <w:t>第一部分 部门概况</w:t>
      </w:r>
      <w:bookmarkEnd w:id="0"/>
    </w:p>
    <w:p>
      <w:pPr>
        <w:overflowPunct w:val="0"/>
        <w:topLinePunct/>
        <w:spacing w:line="620" w:lineRule="exact"/>
        <w:ind w:firstLine="646" w:firstLineChars="200"/>
      </w:pPr>
    </w:p>
    <w:p>
      <w:pPr>
        <w:pStyle w:val="3"/>
        <w:spacing w:before="0" w:after="0" w:line="620" w:lineRule="exact"/>
        <w:ind w:firstLine="646" w:firstLineChars="200"/>
        <w:rPr>
          <w:rStyle w:val="18"/>
          <w:rFonts w:ascii="黑体" w:hAnsi="黑体" w:eastAsia="黑体"/>
        </w:rPr>
      </w:pPr>
      <w:bookmarkStart w:id="1" w:name="_Toc80282370"/>
      <w:r>
        <w:rPr>
          <w:rStyle w:val="18"/>
          <w:rFonts w:ascii="黑体" w:hAnsi="黑体" w:eastAsia="黑体"/>
        </w:rPr>
        <w:t>一、基本职能及主要工作</w:t>
      </w:r>
      <w:bookmarkEnd w:id="1"/>
    </w:p>
    <w:p>
      <w:pPr>
        <w:overflowPunct w:val="0"/>
        <w:topLinePunct/>
        <w:spacing w:line="620" w:lineRule="exact"/>
        <w:ind w:firstLine="646" w:firstLineChars="200"/>
        <w:rPr>
          <w:rFonts w:hint="eastAsia" w:ascii="楷体_GB2312" w:eastAsia="楷体_GB2312"/>
        </w:rPr>
      </w:pPr>
      <w:r>
        <w:rPr>
          <w:rFonts w:hint="eastAsia" w:ascii="楷体_GB2312" w:eastAsia="楷体_GB2312"/>
        </w:rPr>
        <w:t>（一）主要职能。</w:t>
      </w:r>
    </w:p>
    <w:p>
      <w:pPr>
        <w:overflowPunct w:val="0"/>
        <w:topLinePunct/>
        <w:spacing w:line="620" w:lineRule="exact"/>
        <w:ind w:firstLine="646" w:firstLineChars="200"/>
        <w:rPr>
          <w:rFonts w:hint="eastAsia"/>
        </w:rPr>
      </w:pPr>
      <w:r>
        <w:rPr>
          <w:rFonts w:hint="eastAsia"/>
        </w:rPr>
        <w:t>负责全市行政事业单位使用的财政票据的使用、监督管理、领用和发行工作，以及对票据的审查、稽查、核销工作，并配合搞好市直行政事业单位非税收入和“收支两条线”的管理工作。</w:t>
      </w:r>
    </w:p>
    <w:p>
      <w:pPr>
        <w:overflowPunct w:val="0"/>
        <w:topLinePunct/>
        <w:spacing w:line="620" w:lineRule="exact"/>
        <w:ind w:firstLine="646" w:firstLineChars="200"/>
        <w:rPr>
          <w:rFonts w:eastAsia="楷体_GB2312"/>
        </w:rPr>
      </w:pPr>
      <w:r>
        <w:rPr>
          <w:rFonts w:eastAsia="楷体_GB2312"/>
        </w:rPr>
        <w:t>（二）2020年重点工作完成情况。</w:t>
      </w:r>
    </w:p>
    <w:p>
      <w:pPr>
        <w:overflowPunct w:val="0"/>
        <w:topLinePunct/>
        <w:spacing w:line="620" w:lineRule="exact"/>
        <w:ind w:firstLine="646" w:firstLineChars="200"/>
        <w:rPr>
          <w:rFonts w:hint="eastAsia"/>
        </w:rPr>
      </w:pPr>
      <w:r>
        <w:rPr>
          <w:rFonts w:hint="eastAsia"/>
        </w:rPr>
        <w:t>一是根据《财政票据管理办法》（财政部令第70 号）和《四川省财政票据实施办法的通知》相关管理规定，配合中、省推进非税收入收缴电子化管理、财政票据信息化管理等改革要求，以重建市级非税收入收缴管理系统为契机，结合市级财政票据管理实际，开展了市本级以前年度财政票据全面清理核销工作。经统计，我中心2020年共计核销票据129万份，核销金额15,002万元，进一步加强了财政票据的管理，规范了财政票据行为。二是推进运用财政电子票据管理系统，逐步建立科学规范的新型财政票据监管体系，全面提升财政票据监管水平和效率。依托计算机和网络技术手段，通过全程电子监控财政票据，改进财政票据监管方式，进一步发挥财政票据源头管控的作用，实现财政部门与财政票据用票单位之间信息互联互通，通过电子开票、自动核销、资金监管、统计分析等方式，充分发挥财政票据“以票控费、以票促收”的作用，为构建规范、高效、科学的政府非税收入管理体系奠定坚实基础。截至12月底，市本级159单位的财政电子票据改革管理系统正式上线运行，提高了财政票据监管效率和时效性。</w:t>
      </w:r>
    </w:p>
    <w:p>
      <w:pPr>
        <w:pStyle w:val="3"/>
        <w:spacing w:before="0" w:after="0" w:line="620" w:lineRule="exact"/>
        <w:ind w:firstLine="646" w:firstLineChars="200"/>
        <w:rPr>
          <w:rStyle w:val="18"/>
          <w:rFonts w:hint="eastAsia" w:ascii="黑体" w:hAnsi="黑体" w:eastAsia="黑体"/>
        </w:rPr>
      </w:pPr>
      <w:bookmarkStart w:id="2" w:name="_Toc80282371"/>
      <w:r>
        <w:rPr>
          <w:rStyle w:val="18"/>
          <w:rFonts w:hint="eastAsia" w:ascii="黑体" w:hAnsi="黑体" w:eastAsia="黑体"/>
        </w:rPr>
        <w:t>二、机构设置</w:t>
      </w:r>
      <w:bookmarkEnd w:id="2"/>
    </w:p>
    <w:p>
      <w:pPr>
        <w:overflowPunct w:val="0"/>
        <w:topLinePunct/>
        <w:spacing w:line="620" w:lineRule="exact"/>
        <w:ind w:firstLine="646" w:firstLineChars="200"/>
      </w:pPr>
      <w:r>
        <w:rPr>
          <w:rFonts w:hint="eastAsia"/>
        </w:rPr>
        <w:t>下属二级单位0个，其中行政单位0个，参照公务员法管理的事业单位0个，其他事业单位0个。</w:t>
      </w:r>
    </w:p>
    <w:p>
      <w:pPr>
        <w:overflowPunct w:val="0"/>
        <w:topLinePunct/>
        <w:spacing w:line="620" w:lineRule="exact"/>
        <w:ind w:firstLine="646" w:firstLineChars="200"/>
      </w:pPr>
    </w:p>
    <w:p>
      <w:pPr>
        <w:overflowPunct w:val="0"/>
        <w:topLinePunct/>
        <w:spacing w:line="620" w:lineRule="exact"/>
        <w:ind w:firstLine="646" w:firstLineChars="200"/>
      </w:pPr>
    </w:p>
    <w:p>
      <w:pPr>
        <w:overflowPunct w:val="0"/>
        <w:topLinePunct/>
        <w:spacing w:line="620" w:lineRule="exact"/>
        <w:ind w:firstLine="646" w:firstLineChars="200"/>
        <w:rPr>
          <w:rFonts w:hint="eastAsia"/>
        </w:rPr>
      </w:pPr>
      <w:r>
        <w:br w:type="page"/>
      </w:r>
    </w:p>
    <w:p>
      <w:pPr>
        <w:pStyle w:val="2"/>
        <w:overflowPunct w:val="0"/>
        <w:spacing w:before="0" w:after="0" w:line="620" w:lineRule="exact"/>
        <w:jc w:val="center"/>
        <w:rPr>
          <w:rFonts w:hint="eastAsia" w:ascii="方正小标宋简体" w:hAnsi="仿宋" w:eastAsia="方正小标宋简体" w:cs="仿宋"/>
          <w:b w:val="0"/>
          <w:sz w:val="32"/>
          <w:szCs w:val="32"/>
        </w:rPr>
      </w:pPr>
      <w:bookmarkStart w:id="3" w:name="_Toc80282372"/>
      <w:r>
        <w:rPr>
          <w:rFonts w:hint="eastAsia" w:ascii="方正小标宋简体" w:hAnsi="仿宋" w:eastAsia="方正小标宋简体" w:cs="仿宋"/>
          <w:b w:val="0"/>
          <w:sz w:val="32"/>
          <w:szCs w:val="32"/>
        </w:rPr>
        <w:t>第二部分 2020年度部门决算情况说明</w:t>
      </w:r>
      <w:bookmarkEnd w:id="3"/>
    </w:p>
    <w:p>
      <w:pPr>
        <w:overflowPunct w:val="0"/>
        <w:topLinePunct/>
        <w:spacing w:line="620" w:lineRule="exact"/>
        <w:ind w:firstLine="646" w:firstLineChars="200"/>
      </w:pPr>
    </w:p>
    <w:p>
      <w:pPr>
        <w:pStyle w:val="3"/>
        <w:spacing w:before="0" w:after="0" w:line="620" w:lineRule="exact"/>
        <w:ind w:firstLine="646" w:firstLineChars="200"/>
        <w:rPr>
          <w:rStyle w:val="18"/>
          <w:rFonts w:hint="eastAsia" w:ascii="黑体" w:hAnsi="黑体" w:eastAsia="黑体"/>
        </w:rPr>
      </w:pPr>
      <w:bookmarkStart w:id="4" w:name="_Toc80282373"/>
      <w:r>
        <w:rPr>
          <w:rStyle w:val="18"/>
          <w:rFonts w:hint="eastAsia" w:ascii="黑体" w:hAnsi="黑体" w:eastAsia="黑体"/>
        </w:rPr>
        <w:t>一、收入支出决算总体情况说明</w:t>
      </w:r>
      <w:bookmarkEnd w:id="4"/>
    </w:p>
    <w:p>
      <w:pPr>
        <w:overflowPunct w:val="0"/>
        <w:topLinePunct/>
        <w:spacing w:line="620" w:lineRule="exact"/>
        <w:ind w:firstLine="646" w:firstLineChars="200"/>
      </w:pPr>
      <w:r>
        <w:rPr>
          <w:rFonts w:hint="eastAsia"/>
        </w:rPr>
        <w:pict>
          <v:shape id="Object 2" o:spid="_x0000_s1026" o:spt="75" type="#_x0000_t75" style="position:absolute;left:0pt;margin-left:56.2pt;margin-top:163.6pt;height:207.85pt;width:331.35pt;mso-wrap-distance-bottom:0pt;mso-wrap-distance-top:0pt;z-index:251659264;mso-width-relative:page;mso-height-relative:page;" o:ole="t" filled="f" o:preferrelative="t" stroked="f" coordsize="21600,21600">
            <v:path/>
            <v:fill on="f" focussize="0,0"/>
            <v:stroke on="f"/>
            <v:imagedata r:id="rId7" o:title=""/>
            <o:lock v:ext="edit" aspectratio="t"/>
            <w10:wrap type="topAndBottom"/>
          </v:shape>
          <o:OLEObject Type="Embed" ProgID="Excel.Chart" ShapeID="Object 2" DrawAspect="Content" ObjectID="_1468075725" r:id="rId6">
            <o:LockedField>false</o:LockedField>
          </o:OLEObject>
        </w:pict>
      </w:r>
      <w:r>
        <w:rPr>
          <w:rFonts w:hint="eastAsia"/>
        </w:rPr>
        <w:t>2020年度收</w:t>
      </w:r>
      <w:r>
        <w:rPr>
          <w:rFonts w:hint="eastAsia"/>
          <w:lang w:eastAsia="zh-CN"/>
        </w:rPr>
        <w:t>、</w:t>
      </w:r>
      <w:r>
        <w:rPr>
          <w:rFonts w:hint="eastAsia"/>
          <w:lang w:val="en-US" w:eastAsia="zh-CN"/>
        </w:rPr>
        <w:t>支总</w:t>
      </w:r>
      <w:r>
        <w:rPr>
          <w:rFonts w:hint="eastAsia"/>
        </w:rPr>
        <w:t>计21</w:t>
      </w:r>
      <w:r>
        <w:rPr>
          <w:rFonts w:hint="eastAsia"/>
          <w:lang w:val="en-US" w:eastAsia="zh-CN"/>
        </w:rPr>
        <w:t>1</w:t>
      </w:r>
      <w:r>
        <w:rPr>
          <w:rFonts w:hint="eastAsia"/>
        </w:rPr>
        <w:t>.</w:t>
      </w:r>
      <w:r>
        <w:rPr>
          <w:rFonts w:hint="eastAsia"/>
          <w:lang w:val="en-US" w:eastAsia="zh-CN"/>
        </w:rPr>
        <w:t>23</w:t>
      </w:r>
      <w:r>
        <w:rPr>
          <w:rFonts w:hint="eastAsia"/>
        </w:rPr>
        <w:t>万元。与2019年相比，收、支总计各增加18.25万元，增长9.49%。主要变动原因行政运行费用增加。退休人员增加，其他工资福利支出增加，人员加班较多，加班费增加。纸质票据采购较去年增加，人工搬运费增加。</w:t>
      </w:r>
    </w:p>
    <w:p>
      <w:pPr>
        <w:overflowPunct w:val="0"/>
        <w:topLinePunct/>
        <w:spacing w:line="620" w:lineRule="exact"/>
        <w:jc w:val="center"/>
        <w:rPr>
          <w:rFonts w:hint="eastAsia"/>
        </w:rPr>
      </w:pPr>
      <w:r>
        <w:rPr>
          <w:rFonts w:hint="eastAsia"/>
        </w:rPr>
        <w:t>（图1：收、支决算总计变动情况图）（柱状图）</w:t>
      </w:r>
    </w:p>
    <w:p>
      <w:pPr>
        <w:pStyle w:val="3"/>
        <w:spacing w:before="0" w:after="0" w:line="620" w:lineRule="exact"/>
        <w:ind w:firstLine="646" w:firstLineChars="200"/>
        <w:rPr>
          <w:rStyle w:val="18"/>
          <w:rFonts w:hint="eastAsia" w:ascii="黑体" w:hAnsi="黑体" w:eastAsia="黑体"/>
        </w:rPr>
      </w:pPr>
      <w:bookmarkStart w:id="5" w:name="_Toc80282374"/>
      <w:r>
        <w:rPr>
          <w:rStyle w:val="18"/>
          <w:rFonts w:hint="eastAsia" w:ascii="黑体" w:hAnsi="黑体" w:eastAsia="黑体"/>
        </w:rPr>
        <w:t>二、收入决算情况说明</w:t>
      </w:r>
      <w:bookmarkEnd w:id="5"/>
    </w:p>
    <w:p>
      <w:pPr>
        <w:overflowPunct w:val="0"/>
        <w:topLinePunct/>
        <w:spacing w:line="620" w:lineRule="exact"/>
        <w:ind w:firstLine="646" w:firstLineChars="200"/>
      </w:pPr>
      <w:r>
        <w:rPr>
          <w:rFonts w:hint="eastAsia"/>
        </w:rPr>
        <w:t>2020年本年收入合计210.49万元，其中：一般公共预算财政拨款收入210.48万元，占100%；政府性基金预算财政拨款收入0万元，占0%；上级补助收入0万元，占0%；事业收入0万元，占0%；经营收入0万元，占0%；附属单位上缴收入0万元，</w:t>
      </w:r>
      <w:r>
        <w:rPr>
          <w:rFonts w:hint="eastAsia" w:ascii="仿宋" w:hAnsi="仿宋" w:eastAsia="仿宋" w:cs="仿宋"/>
          <w:color w:val="000000"/>
        </w:rPr>
        <w:pict>
          <v:shape id="Object 4" o:spid="_x0000_s1027" o:spt="75" type="#_x0000_t75" style="position:absolute;left:0pt;margin-left:21.85pt;margin-top:40.6pt;height:220.75pt;width:404.25pt;mso-wrap-distance-bottom:0pt;mso-wrap-distance-top:0pt;z-index:251660288;mso-width-relative:page;mso-height-relative:page;" o:ole="t" filled="f" o:preferrelative="t" stroked="f" coordsize="21600,21600">
            <v:path/>
            <v:fill on="f" focussize="0,0"/>
            <v:stroke on="f"/>
            <v:imagedata r:id="rId9" o:title=""/>
            <o:lock v:ext="edit" aspectratio="t"/>
            <w10:wrap type="topAndBottom"/>
          </v:shape>
          <o:OLEObject Type="Embed" ProgID="Excel.Chart" ShapeID="Object 4" DrawAspect="Content" ObjectID="_1468075726" r:id="rId8">
            <o:LockedField>false</o:LockedField>
          </o:OLEObject>
        </w:pict>
      </w:r>
      <w:r>
        <w:rPr>
          <w:rFonts w:hint="eastAsia"/>
        </w:rPr>
        <w:t>占0%；其他收入0万元，占0%。</w:t>
      </w:r>
    </w:p>
    <w:p>
      <w:pPr>
        <w:overflowPunct w:val="0"/>
        <w:topLinePunct/>
        <w:spacing w:line="620" w:lineRule="exact"/>
        <w:jc w:val="center"/>
        <w:rPr>
          <w:rFonts w:hint="eastAsia"/>
          <w:bCs/>
        </w:rPr>
      </w:pPr>
      <w:r>
        <w:rPr>
          <w:rFonts w:hint="eastAsia"/>
        </w:rPr>
        <w:t>（图2：收入决算结构图）（饼状图）</w:t>
      </w:r>
    </w:p>
    <w:p>
      <w:pPr>
        <w:pStyle w:val="3"/>
        <w:spacing w:before="0" w:after="0" w:line="620" w:lineRule="exact"/>
        <w:ind w:firstLine="646" w:firstLineChars="200"/>
        <w:rPr>
          <w:rStyle w:val="18"/>
          <w:rFonts w:hint="eastAsia" w:ascii="黑体" w:hAnsi="黑体" w:eastAsia="黑体"/>
        </w:rPr>
      </w:pPr>
      <w:bookmarkStart w:id="6" w:name="_Toc80282375"/>
      <w:r>
        <w:rPr>
          <w:rStyle w:val="18"/>
          <w:rFonts w:hint="eastAsia" w:ascii="黑体" w:hAnsi="黑体" w:eastAsia="黑体"/>
        </w:rPr>
        <w:t>三、支出决算情况说明</w:t>
      </w:r>
      <w:bookmarkEnd w:id="6"/>
    </w:p>
    <w:p>
      <w:pPr>
        <w:overflowPunct w:val="0"/>
        <w:topLinePunct/>
        <w:spacing w:line="620" w:lineRule="exact"/>
        <w:ind w:firstLine="646" w:firstLineChars="200"/>
      </w:pPr>
      <w:r>
        <w:pict>
          <v:shape id="Object 6" o:spid="_x0000_s1028" o:spt="75" type="#_x0000_t75" style="position:absolute;left:0pt;margin-left:22.4pt;margin-top:79.9pt;height:237.05pt;width:402.85pt;mso-wrap-distance-bottom:0pt;mso-wrap-distance-top:0pt;z-index:251661312;mso-width-relative:page;mso-height-relative:page;" o:ole="t" filled="f" o:preferrelative="t" stroked="f" coordsize="21600,21600">
            <v:path/>
            <v:fill on="f" focussize="0,0"/>
            <v:stroke on="f"/>
            <v:imagedata r:id="rId11" o:title=""/>
            <o:lock v:ext="edit" aspectratio="t"/>
            <w10:wrap type="topAndBottom"/>
          </v:shape>
          <o:OLEObject Type="Embed" ProgID="Excel.Chart" ShapeID="Object 6" DrawAspect="Content" ObjectID="_1468075727" r:id="rId10">
            <o:LockedField>false</o:LockedField>
          </o:OLEObject>
        </w:pict>
      </w:r>
      <w:r>
        <w:rPr>
          <w:rFonts w:hint="eastAsia"/>
        </w:rPr>
        <w:t>2020年本年支出合计210.49万元，其中：基本支出138.71万元，占65.89%；项目支出万71.78元，占34.10%。</w:t>
      </w:r>
    </w:p>
    <w:p>
      <w:pPr>
        <w:overflowPunct w:val="0"/>
        <w:topLinePunct/>
        <w:spacing w:line="620" w:lineRule="exact"/>
        <w:jc w:val="center"/>
      </w:pPr>
      <w:r>
        <w:rPr>
          <w:rFonts w:hint="eastAsia"/>
        </w:rPr>
        <w:t>（图3：支出决算结构图）（饼状图）</w:t>
      </w:r>
    </w:p>
    <w:p>
      <w:pPr>
        <w:pStyle w:val="3"/>
        <w:spacing w:before="0" w:after="0" w:line="620" w:lineRule="exact"/>
        <w:ind w:firstLine="646" w:firstLineChars="200"/>
        <w:rPr>
          <w:rStyle w:val="18"/>
          <w:rFonts w:hint="eastAsia" w:ascii="黑体" w:hAnsi="黑体" w:eastAsia="黑体"/>
        </w:rPr>
      </w:pPr>
      <w:bookmarkStart w:id="7" w:name="_Toc80282376"/>
      <w:r>
        <w:rPr>
          <w:rStyle w:val="18"/>
          <w:rFonts w:hint="eastAsia" w:ascii="黑体" w:hAnsi="黑体" w:eastAsia="黑体"/>
        </w:rPr>
        <w:t>四、财政拨款收入支出决算总体情况说明</w:t>
      </w:r>
      <w:bookmarkEnd w:id="7"/>
    </w:p>
    <w:p>
      <w:pPr>
        <w:overflowPunct w:val="0"/>
        <w:topLinePunct/>
        <w:spacing w:line="620" w:lineRule="exact"/>
        <w:ind w:firstLine="646" w:firstLineChars="200"/>
      </w:pPr>
      <w:r>
        <w:rPr>
          <w:rFonts w:hint="eastAsia"/>
        </w:rPr>
        <w:pict>
          <v:shape id="Object 8" o:spid="_x0000_s1029" o:spt="75" type="#_x0000_t75" style="position:absolute;left:0pt;margin-left:29.6pt;margin-top:158.05pt;height:265.5pt;width:399.95pt;mso-wrap-distance-bottom:0pt;mso-wrap-distance-top:0pt;z-index:251662336;mso-width-relative:page;mso-height-relative:page;" o:ole="t" filled="f" o:preferrelative="t" stroked="f" coordsize="21600,21600">
            <v:path/>
            <v:fill on="f" focussize="0,0"/>
            <v:stroke on="f"/>
            <v:imagedata r:id="rId13" o:title=""/>
            <o:lock v:ext="edit" aspectratio="t"/>
            <w10:wrap type="topAndBottom"/>
          </v:shape>
          <o:OLEObject Type="Embed" ProgID="Excel.Chart" ShapeID="Object 8" DrawAspect="Content" ObjectID="_1468075728" r:id="rId12">
            <o:LockedField>false</o:LockedField>
          </o:OLEObject>
        </w:pict>
      </w:r>
      <w:r>
        <w:rPr>
          <w:rFonts w:hint="eastAsia"/>
        </w:rPr>
        <w:t>2020年财政拨款收、支总计21</w:t>
      </w:r>
      <w:r>
        <w:rPr>
          <w:rFonts w:hint="eastAsia"/>
          <w:lang w:val="en-US" w:eastAsia="zh-CN"/>
        </w:rPr>
        <w:t>1.23</w:t>
      </w:r>
      <w:r>
        <w:rPr>
          <w:rFonts w:hint="eastAsia"/>
        </w:rPr>
        <w:t>万元。与2019年相比，财政拨款收、支总计各增加18.76万元，增长9.78%。主要变动原因是人员增加。行政运行费用增加，机关事业单位基本养老保险缴费、其他工资福利支出、维修（护）费、劳务费、其他对个人和家庭的补助支出等增加。</w:t>
      </w:r>
    </w:p>
    <w:p>
      <w:pPr>
        <w:overflowPunct w:val="0"/>
        <w:topLinePunct/>
        <w:spacing w:line="620" w:lineRule="exact"/>
        <w:jc w:val="center"/>
        <w:rPr>
          <w:rFonts w:hint="eastAsia"/>
        </w:rPr>
      </w:pPr>
      <w:r>
        <w:rPr>
          <w:rFonts w:hint="eastAsia"/>
        </w:rPr>
        <w:t>（图4：财政拨款收、支决算总计变动情况）（柱状图）</w:t>
      </w:r>
    </w:p>
    <w:p>
      <w:pPr>
        <w:pStyle w:val="3"/>
        <w:spacing w:before="0" w:after="0" w:line="620" w:lineRule="exact"/>
        <w:ind w:firstLine="646" w:firstLineChars="200"/>
        <w:rPr>
          <w:rStyle w:val="18"/>
          <w:rFonts w:hint="eastAsia" w:ascii="黑体" w:hAnsi="黑体" w:eastAsia="黑体"/>
        </w:rPr>
      </w:pPr>
      <w:bookmarkStart w:id="8" w:name="_Toc80282377"/>
      <w:r>
        <w:rPr>
          <w:rStyle w:val="18"/>
          <w:rFonts w:hint="eastAsia" w:ascii="黑体" w:hAnsi="黑体" w:eastAsia="黑体"/>
        </w:rPr>
        <w:t>五、一般公共预算财政拨款支出决算情况说明</w:t>
      </w:r>
      <w:bookmarkEnd w:id="8"/>
    </w:p>
    <w:p>
      <w:pPr>
        <w:overflowPunct w:val="0"/>
        <w:topLinePunct/>
        <w:spacing w:line="620" w:lineRule="exact"/>
        <w:ind w:firstLine="646" w:firstLineChars="200"/>
        <w:rPr>
          <w:rFonts w:hint="eastAsia" w:ascii="楷体_GB2312" w:eastAsia="楷体_GB2312"/>
        </w:rPr>
      </w:pPr>
      <w:r>
        <w:rPr>
          <w:rFonts w:hint="eastAsia" w:ascii="楷体_GB2312" w:eastAsia="楷体_GB2312"/>
        </w:rPr>
        <w:t>（一）一般公共预算财政拨款支出决算总体情况</w:t>
      </w:r>
    </w:p>
    <w:p>
      <w:pPr>
        <w:overflowPunct w:val="0"/>
        <w:topLinePunct/>
        <w:spacing w:line="620" w:lineRule="exact"/>
        <w:ind w:firstLine="646" w:firstLineChars="200"/>
      </w:pPr>
      <w:r>
        <w:rPr>
          <w:rFonts w:hint="eastAsia"/>
        </w:rPr>
        <w:t>2020年一般公共预算财政拨款支出210.48万元，占本年支出合计的100%。与2019年相比，一般公共预算财政拨款增加万元，增9.99%。主要变动原因是养老保险、目标奖、水、电、物管费较19年增加。</w:t>
      </w:r>
    </w:p>
    <w:p>
      <w:pPr>
        <w:overflowPunct w:val="0"/>
        <w:topLinePunct/>
        <w:spacing w:line="620" w:lineRule="exact"/>
        <w:jc w:val="center"/>
        <w:rPr>
          <w:rFonts w:hint="eastAsia"/>
        </w:rPr>
      </w:pPr>
      <w:r>
        <w:rPr>
          <w:lang/>
        </w:rPr>
        <w:pict>
          <v:shape id="对象 10" o:spid="_x0000_s1035" o:spt="75" type="#_x0000_t75" style="position:absolute;left:0pt;margin-left:56.45pt;margin-top:19.65pt;height:153.55pt;width:331.35pt;mso-wrap-distance-bottom:0pt;mso-wrap-distance-top:0pt;z-index:251664384;mso-width-relative:page;mso-height-relative:page;" o:ole="t" filled="f" o:preferrelative="t" stroked="f" coordsize="21600,21600">
            <v:path/>
            <v:fill on="f" focussize="0,0"/>
            <v:stroke on="f"/>
            <v:imagedata r:id="rId15" o:title=""/>
            <o:lock v:ext="edit" aspectratio="t"/>
            <w10:wrap type="topAndBottom"/>
          </v:shape>
          <o:OLEObject Type="Embed" ProgID="Excel.Chart" ShapeID="对象 10" DrawAspect="Content" ObjectID="_1468075729" r:id="rId14">
            <o:LockedField>false</o:LockedField>
          </o:OLEObject>
        </w:pict>
      </w:r>
      <w:r>
        <w:rPr>
          <w:rFonts w:hint="eastAsia"/>
        </w:rPr>
        <w:t>（图5：一般公共预算财政拨款支出决算变动情况）</w:t>
      </w:r>
    </w:p>
    <w:p>
      <w:pPr>
        <w:overflowPunct w:val="0"/>
        <w:topLinePunct/>
        <w:spacing w:line="620" w:lineRule="exact"/>
        <w:ind w:firstLine="646" w:firstLineChars="200"/>
        <w:rPr>
          <w:rFonts w:hint="eastAsia" w:ascii="楷体_GB2312" w:eastAsia="楷体_GB2312"/>
        </w:rPr>
      </w:pPr>
      <w:r>
        <w:rPr>
          <w:rFonts w:hint="eastAsia" w:ascii="楷体_GB2312" w:eastAsia="楷体_GB2312"/>
        </w:rPr>
        <w:t>（二）一般公共预算财政拨款支出决算结构情况</w:t>
      </w:r>
    </w:p>
    <w:p>
      <w:pPr>
        <w:overflowPunct w:val="0"/>
        <w:topLinePunct/>
        <w:spacing w:line="620" w:lineRule="exact"/>
        <w:ind w:firstLine="646" w:firstLineChars="200"/>
        <w:rPr>
          <w:rFonts w:hint="eastAsia"/>
        </w:rPr>
      </w:pPr>
      <w:r>
        <w:rPr>
          <w:rFonts w:hint="eastAsia"/>
        </w:rPr>
        <w:t>2020年一般公共预算财政拨款支出210.48万元，主要用于以下方面:一般公共服务（类）支出181.95万元，占86.44%；教育支出（类）0万元，占0%；社会保障和就业（类）支出11.01万元，占5.23%；卫生健康支出5.91万元，占2.9 %；住房保障支出11.61万元，占5.52%。</w:t>
      </w:r>
    </w:p>
    <w:p>
      <w:pPr>
        <w:overflowPunct w:val="0"/>
        <w:topLinePunct/>
        <w:spacing w:line="620" w:lineRule="exact"/>
        <w:ind w:firstLine="646" w:firstLineChars="200"/>
      </w:pPr>
      <w:r>
        <w:rPr>
          <w:rFonts w:hint="eastAsia" w:ascii="仿宋" w:hAnsi="仿宋" w:eastAsia="仿宋" w:cs="仿宋"/>
          <w:color w:val="000000"/>
        </w:rPr>
        <w:pict>
          <v:shape id="对象 11" o:spid="_x0000_s1032" o:spt="75" type="#_x0000_t75" style="position:absolute;left:0pt;margin-left:27.1pt;margin-top:11.35pt;height:235.75pt;width:399.35pt;mso-wrap-distance-bottom:0pt;mso-wrap-distance-left:9pt;mso-wrap-distance-right:9pt;mso-wrap-distance-top:0pt;z-index:251663360;mso-width-relative:page;mso-height-relative:page;" o:ole="t" filled="f" o:preferrelative="t" stroked="f" coordsize="21600,21600">
            <v:path/>
            <v:fill on="f" focussize="0,0"/>
            <v:stroke on="f"/>
            <v:imagedata r:id="rId17" o:title=""/>
            <o:lock v:ext="edit" aspectratio="t"/>
            <w10:wrap type="square"/>
          </v:shape>
          <o:OLEObject Type="Embed" ProgID="Excel.Chart" ShapeID="对象 11" DrawAspect="Content" ObjectID="_1468075730" r:id="rId16">
            <o:LockedField>false</o:LockedField>
          </o:OLEObject>
        </w:pict>
      </w:r>
    </w:p>
    <w:p>
      <w:pPr>
        <w:overflowPunct w:val="0"/>
        <w:topLinePunct/>
        <w:spacing w:line="620" w:lineRule="exact"/>
        <w:jc w:val="center"/>
        <w:rPr>
          <w:rFonts w:hint="eastAsia"/>
        </w:rPr>
      </w:pPr>
      <w:r>
        <w:rPr>
          <w:rFonts w:hint="eastAsia"/>
        </w:rPr>
        <w:t>（图6：一般公共预算财政拨款支出决算结构）（饼状图）</w:t>
      </w:r>
    </w:p>
    <w:p>
      <w:pPr>
        <w:overflowPunct w:val="0"/>
        <w:topLinePunct/>
        <w:spacing w:line="620" w:lineRule="exact"/>
        <w:ind w:firstLine="646" w:firstLineChars="200"/>
        <w:rPr>
          <w:rFonts w:hint="eastAsia" w:ascii="楷体_GB2312" w:eastAsia="楷体_GB2312"/>
        </w:rPr>
      </w:pPr>
      <w:bookmarkStart w:id="9" w:name="_Toc51312200"/>
      <w:bookmarkEnd w:id="9"/>
      <w:bookmarkStart w:id="10" w:name="_Toc51312789"/>
      <w:bookmarkEnd w:id="10"/>
      <w:bookmarkStart w:id="11" w:name="_Toc51312438"/>
      <w:bookmarkEnd w:id="11"/>
      <w:bookmarkStart w:id="12" w:name="_Toc51312555"/>
      <w:bookmarkEnd w:id="12"/>
      <w:bookmarkStart w:id="13" w:name="_Toc51312905"/>
      <w:bookmarkEnd w:id="13"/>
      <w:bookmarkStart w:id="14" w:name="_Toc51312320"/>
      <w:bookmarkEnd w:id="14"/>
      <w:bookmarkStart w:id="15" w:name="_Toc51312672"/>
      <w:bookmarkEnd w:id="15"/>
      <w:bookmarkStart w:id="16" w:name="_Toc51313020"/>
      <w:bookmarkEnd w:id="16"/>
      <w:bookmarkStart w:id="17" w:name="_Toc51313132"/>
      <w:bookmarkEnd w:id="17"/>
      <w:bookmarkStart w:id="18" w:name="_Toc15377212"/>
      <w:r>
        <w:rPr>
          <w:rFonts w:hint="eastAsia" w:ascii="楷体_GB2312" w:eastAsia="楷体_GB2312"/>
        </w:rPr>
        <w:t>（三）一般公共预算财政拨款支出决算具体情况</w:t>
      </w:r>
      <w:bookmarkEnd w:id="18"/>
    </w:p>
    <w:p>
      <w:pPr>
        <w:overflowPunct w:val="0"/>
        <w:topLinePunct/>
        <w:spacing w:line="620" w:lineRule="exact"/>
        <w:ind w:firstLine="646" w:firstLineChars="200"/>
        <w:rPr>
          <w:rFonts w:hint="eastAsia"/>
        </w:rPr>
      </w:pPr>
      <w:bookmarkStart w:id="19" w:name="_Toc15378460"/>
      <w:bookmarkStart w:id="20" w:name="_Toc15377444"/>
      <w:bookmarkStart w:id="21" w:name="_Toc15377213"/>
      <w:r>
        <w:rPr>
          <w:rFonts w:hint="eastAsia"/>
        </w:rPr>
        <w:t>2020年一般公共预算支出决算数为210.48万元，完成预算97.38%。其中：</w:t>
      </w:r>
      <w:bookmarkEnd w:id="19"/>
      <w:bookmarkEnd w:id="20"/>
      <w:bookmarkEnd w:id="21"/>
    </w:p>
    <w:p>
      <w:pPr>
        <w:overflowPunct w:val="0"/>
        <w:topLinePunct/>
        <w:spacing w:line="620" w:lineRule="exact"/>
        <w:ind w:firstLine="646" w:firstLineChars="200"/>
        <w:rPr>
          <w:rFonts w:hint="eastAsia"/>
        </w:rPr>
      </w:pPr>
      <w:r>
        <w:rPr>
          <w:rFonts w:hint="eastAsia"/>
          <w:b/>
        </w:rPr>
        <w:t xml:space="preserve">1. 一般公共服务201（类）财政事务06（款）行政运行01（项）: </w:t>
      </w:r>
      <w:r>
        <w:rPr>
          <w:rFonts w:hint="eastAsia"/>
        </w:rPr>
        <w:t>支出决算为110.17万元，完成预算100%，决算数大于预算数的主要原因是人员增加。</w:t>
      </w:r>
    </w:p>
    <w:p>
      <w:pPr>
        <w:overflowPunct w:val="0"/>
        <w:topLinePunct/>
        <w:spacing w:line="620" w:lineRule="exact"/>
        <w:ind w:firstLine="646" w:firstLineChars="200"/>
        <w:rPr>
          <w:rFonts w:hint="eastAsia"/>
        </w:rPr>
      </w:pPr>
      <w:r>
        <w:rPr>
          <w:rFonts w:hint="eastAsia"/>
          <w:b/>
        </w:rPr>
        <w:t>2.</w:t>
      </w:r>
      <w:r>
        <w:rPr>
          <w:b/>
        </w:rPr>
        <w:t xml:space="preserve"> </w:t>
      </w:r>
      <w:r>
        <w:rPr>
          <w:rFonts w:hint="eastAsia"/>
          <w:b/>
        </w:rPr>
        <w:t>一般公共服务201（类）财政事务06（款）财政监察06（项）：</w:t>
      </w:r>
      <w:r>
        <w:rPr>
          <w:rFonts w:hint="eastAsia"/>
        </w:rPr>
        <w:t>支出决算为21.78万元，完成预算99%，决算数小于预算数的主要原因是监察人员绩效减扣。</w:t>
      </w:r>
    </w:p>
    <w:p>
      <w:pPr>
        <w:overflowPunct w:val="0"/>
        <w:topLinePunct/>
        <w:spacing w:line="620" w:lineRule="exact"/>
        <w:ind w:firstLine="646" w:firstLineChars="200"/>
        <w:rPr>
          <w:rFonts w:hint="eastAsia"/>
        </w:rPr>
      </w:pPr>
      <w:r>
        <w:rPr>
          <w:rFonts w:hint="eastAsia"/>
          <w:b/>
        </w:rPr>
        <w:t>3. 一般公共服务201（类）财政事务06（款）其他财政事务支出99（项）：</w:t>
      </w:r>
      <w:r>
        <w:rPr>
          <w:rFonts w:hint="eastAsia"/>
        </w:rPr>
        <w:t>支出决算为50万元，完成预算100%，决算数等于预算数的主要原因是票据计划申报合理。</w:t>
      </w:r>
    </w:p>
    <w:p>
      <w:pPr>
        <w:overflowPunct w:val="0"/>
        <w:topLinePunct/>
        <w:spacing w:line="620" w:lineRule="exact"/>
        <w:ind w:firstLine="646" w:firstLineChars="200"/>
        <w:rPr>
          <w:rFonts w:hint="eastAsia"/>
        </w:rPr>
      </w:pPr>
      <w:r>
        <w:rPr>
          <w:rFonts w:hint="eastAsia"/>
          <w:b/>
        </w:rPr>
        <w:t>4.</w:t>
      </w:r>
      <w:r>
        <w:rPr>
          <w:b/>
        </w:rPr>
        <w:t xml:space="preserve"> </w:t>
      </w:r>
      <w:r>
        <w:rPr>
          <w:rFonts w:hint="eastAsia"/>
          <w:b/>
        </w:rPr>
        <w:t>社会保障和就业支出208（类）行政事业单位养老支出05（款）行政单位离退休01（项）：</w:t>
      </w:r>
      <w:r>
        <w:rPr>
          <w:rFonts w:hint="eastAsia"/>
        </w:rPr>
        <w:t>支出决算为1.85万元，完成预算100%，决算数大于预算数的主要原因是离退休人员增加。</w:t>
      </w:r>
    </w:p>
    <w:p>
      <w:pPr>
        <w:overflowPunct w:val="0"/>
        <w:topLinePunct/>
        <w:spacing w:line="620" w:lineRule="exact"/>
        <w:ind w:firstLine="646" w:firstLineChars="200"/>
        <w:rPr>
          <w:rFonts w:hint="eastAsia"/>
        </w:rPr>
      </w:pPr>
      <w:r>
        <w:rPr>
          <w:rFonts w:hint="eastAsia"/>
          <w:b/>
        </w:rPr>
        <w:t>5.</w:t>
      </w:r>
      <w:r>
        <w:rPr>
          <w:b/>
        </w:rPr>
        <w:t xml:space="preserve"> </w:t>
      </w:r>
      <w:r>
        <w:rPr>
          <w:rFonts w:hint="eastAsia"/>
          <w:b/>
        </w:rPr>
        <w:t>社会保障和就业支出208（类）行政事业单位养老支出05（款） 机关事业单位基本养老保险缴费支出05（项）：</w:t>
      </w:r>
      <w:r>
        <w:rPr>
          <w:rFonts w:hint="eastAsia"/>
        </w:rPr>
        <w:t>支出决算为9.16万元，完成预算96.93%，决算数小于预算数的主要原因是离退休人员增加，养老保险停缴。</w:t>
      </w:r>
    </w:p>
    <w:p>
      <w:pPr>
        <w:overflowPunct w:val="0"/>
        <w:topLinePunct/>
        <w:spacing w:line="620" w:lineRule="exact"/>
        <w:ind w:firstLine="646" w:firstLineChars="200"/>
        <w:rPr>
          <w:rFonts w:hint="eastAsia"/>
        </w:rPr>
      </w:pPr>
      <w:r>
        <w:rPr>
          <w:rFonts w:hint="eastAsia"/>
          <w:b/>
        </w:rPr>
        <w:t>6.</w:t>
      </w:r>
      <w:r>
        <w:rPr>
          <w:b/>
        </w:rPr>
        <w:t xml:space="preserve"> </w:t>
      </w:r>
      <w:r>
        <w:rPr>
          <w:rFonts w:hint="eastAsia"/>
          <w:b/>
        </w:rPr>
        <w:t>卫生健康支出210（类）行政事业单位医疗11（款）行政单位医疗01（项）：</w:t>
      </w:r>
      <w:r>
        <w:rPr>
          <w:rFonts w:hint="eastAsia"/>
        </w:rPr>
        <w:t>支出决算为5.91万元，完成预算96.93%，决算数小于预算数的主要原因是离退休人员增加，医疗保险停缴。</w:t>
      </w:r>
    </w:p>
    <w:p>
      <w:pPr>
        <w:overflowPunct w:val="0"/>
        <w:topLinePunct/>
        <w:spacing w:line="620" w:lineRule="exact"/>
        <w:ind w:firstLine="646" w:firstLineChars="200"/>
        <w:rPr>
          <w:rFonts w:hint="eastAsia"/>
        </w:rPr>
      </w:pPr>
      <w:r>
        <w:rPr>
          <w:rFonts w:hint="eastAsia"/>
          <w:b/>
        </w:rPr>
        <w:t>7. 住房保障支出221（类）住房保障支出02（款）住房公积金01（项）：</w:t>
      </w:r>
      <w:r>
        <w:rPr>
          <w:rFonts w:hint="eastAsia"/>
        </w:rPr>
        <w:t>支出决算为11.61万元，完成预算96.66%，决算数小于预算数的主要原因是离退休人员增加，住房公积金停缴。</w:t>
      </w:r>
    </w:p>
    <w:p>
      <w:pPr>
        <w:pStyle w:val="3"/>
        <w:spacing w:before="0" w:after="0" w:line="620" w:lineRule="exact"/>
        <w:ind w:firstLine="646" w:firstLineChars="200"/>
        <w:rPr>
          <w:rStyle w:val="18"/>
          <w:rFonts w:hint="eastAsia" w:ascii="黑体" w:hAnsi="黑体" w:eastAsia="黑体"/>
        </w:rPr>
      </w:pPr>
      <w:bookmarkStart w:id="22" w:name="_Toc80282378"/>
      <w:bookmarkStart w:id="23" w:name="_Toc15377214"/>
      <w:bookmarkStart w:id="24" w:name="_Toc15396608"/>
      <w:r>
        <w:rPr>
          <w:rStyle w:val="18"/>
          <w:rFonts w:hint="eastAsia" w:ascii="黑体" w:hAnsi="黑体" w:eastAsia="黑体"/>
        </w:rPr>
        <w:t>六、一般公共预算财政拨款基本支出决算情况说明</w:t>
      </w:r>
      <w:bookmarkEnd w:id="22"/>
      <w:bookmarkEnd w:id="23"/>
      <w:bookmarkEnd w:id="24"/>
      <w:r>
        <w:rPr>
          <w:rStyle w:val="18"/>
          <w:rFonts w:hint="eastAsia" w:ascii="黑体" w:hAnsi="黑体" w:eastAsia="黑体"/>
        </w:rPr>
        <w:tab/>
      </w:r>
    </w:p>
    <w:p>
      <w:pPr>
        <w:overflowPunct w:val="0"/>
        <w:topLinePunct/>
        <w:spacing w:line="620" w:lineRule="exact"/>
        <w:ind w:firstLine="646" w:firstLineChars="200"/>
        <w:rPr>
          <w:rFonts w:hint="eastAsia"/>
        </w:rPr>
      </w:pPr>
      <w:r>
        <w:rPr>
          <w:rFonts w:hint="eastAsia"/>
        </w:rPr>
        <w:t>2020年一般公共预算财政拨款基本支出210.49万元，其中：</w:t>
      </w:r>
    </w:p>
    <w:p>
      <w:pPr>
        <w:overflowPunct w:val="0"/>
        <w:topLinePunct/>
        <w:spacing w:line="620" w:lineRule="exact"/>
        <w:ind w:firstLine="646" w:firstLineChars="200"/>
      </w:pPr>
      <w:r>
        <w:rPr>
          <w:rFonts w:hint="eastAsia"/>
        </w:rPr>
        <w:t>人员经费117.87万元，主要包括：基本工资、津贴补贴、奖金、伙食补助费、绩效工资、机关事业单位基本养老保险缴费、职业年金缴费、其他社会保障缴费、其他工资福利支出、生活补助、医疗费补助、奖励金、住房公积金、其他对个人和家庭的补助支出等。</w:t>
      </w:r>
    </w:p>
    <w:p>
      <w:pPr>
        <w:overflowPunct w:val="0"/>
        <w:topLinePunct/>
        <w:spacing w:line="620" w:lineRule="exact"/>
        <w:ind w:firstLine="646" w:firstLineChars="200"/>
        <w:rPr>
          <w:rFonts w:hint="eastAsia"/>
        </w:rPr>
      </w:pPr>
      <w:r>
        <w:rPr>
          <w:rFonts w:hint="eastAsia"/>
        </w:rPr>
        <w:t>日常公用经费88.56万元，主要包括：办公费、水费、电费、邮电费、取暖费、物业管理费、差旅费、劳务费、委托业务费、工会经费、其他交通费、税金及附加费用、其他商品和服务支出、办公设备购置、信息网络及软件购置更新等。</w:t>
      </w:r>
    </w:p>
    <w:p>
      <w:pPr>
        <w:pStyle w:val="3"/>
        <w:spacing w:before="0" w:after="0" w:line="620" w:lineRule="exact"/>
        <w:ind w:firstLine="646" w:firstLineChars="200"/>
        <w:rPr>
          <w:rStyle w:val="18"/>
          <w:rFonts w:hint="eastAsia" w:ascii="黑体" w:hAnsi="黑体" w:eastAsia="黑体"/>
        </w:rPr>
      </w:pPr>
      <w:bookmarkStart w:id="25" w:name="_Toc15396609"/>
      <w:bookmarkStart w:id="26" w:name="_Toc80282379"/>
      <w:bookmarkStart w:id="27" w:name="_Toc15377215"/>
      <w:r>
        <w:rPr>
          <w:rStyle w:val="18"/>
          <w:rFonts w:hint="eastAsia" w:ascii="黑体" w:hAnsi="黑体" w:eastAsia="黑体"/>
        </w:rPr>
        <w:t>七、“三公”经费财政拨款支出决算情况说明</w:t>
      </w:r>
      <w:bookmarkEnd w:id="25"/>
      <w:bookmarkEnd w:id="26"/>
      <w:bookmarkEnd w:id="27"/>
    </w:p>
    <w:p>
      <w:pPr>
        <w:overflowPunct w:val="0"/>
        <w:topLinePunct/>
        <w:spacing w:line="620" w:lineRule="exact"/>
        <w:ind w:firstLine="646" w:firstLineChars="200"/>
        <w:rPr>
          <w:rFonts w:hint="eastAsia" w:ascii="楷体_GB2312" w:eastAsia="楷体_GB2312"/>
        </w:rPr>
      </w:pPr>
      <w:bookmarkStart w:id="28" w:name="_Toc15377216"/>
      <w:r>
        <w:rPr>
          <w:rFonts w:hint="eastAsia" w:ascii="楷体_GB2312" w:eastAsia="楷体_GB2312"/>
        </w:rPr>
        <w:t>（一）“三公”经费财政拨款支出决算总体情况说明</w:t>
      </w:r>
      <w:bookmarkEnd w:id="28"/>
    </w:p>
    <w:p>
      <w:pPr>
        <w:overflowPunct w:val="0"/>
        <w:topLinePunct/>
        <w:spacing w:line="620" w:lineRule="exact"/>
        <w:ind w:firstLine="646" w:firstLineChars="200"/>
        <w:rPr>
          <w:rFonts w:hint="eastAsia"/>
        </w:rPr>
      </w:pPr>
      <w:r>
        <w:rPr>
          <w:rFonts w:hint="eastAsia"/>
        </w:rPr>
        <w:t>2020年“三公”经费财政拨款支出决算为0万元，完成预算100%，</w:t>
      </w:r>
    </w:p>
    <w:p>
      <w:pPr>
        <w:overflowPunct w:val="0"/>
        <w:topLinePunct/>
        <w:spacing w:line="620" w:lineRule="exact"/>
        <w:ind w:firstLine="646" w:firstLineChars="200"/>
        <w:rPr>
          <w:rFonts w:hint="eastAsia" w:ascii="楷体_GB2312" w:eastAsia="楷体_GB2312"/>
        </w:rPr>
      </w:pPr>
      <w:bookmarkStart w:id="29" w:name="_Toc15377217"/>
      <w:r>
        <w:rPr>
          <w:rFonts w:hint="eastAsia" w:ascii="楷体_GB2312" w:eastAsia="楷体_GB2312"/>
        </w:rPr>
        <w:t>（二）“三公”经费财政拨款支出决算具体情况说明</w:t>
      </w:r>
      <w:bookmarkEnd w:id="29"/>
    </w:p>
    <w:p>
      <w:pPr>
        <w:overflowPunct w:val="0"/>
        <w:topLinePunct/>
        <w:spacing w:line="620" w:lineRule="exact"/>
        <w:ind w:firstLine="646" w:firstLineChars="200"/>
        <w:rPr>
          <w:rFonts w:hint="eastAsia"/>
        </w:rPr>
      </w:pPr>
      <w:r>
        <w:rPr>
          <w:rFonts w:hint="eastAsia"/>
        </w:rPr>
        <w:t>2020年“三公”经费财政拨款支出决算中，因公出国（境）费支出决算0万元，占0%；公务用车购置及运行维护费支出决算0万元，占0%；公务接待费支出决算0万元，占0%。具体情况如下：</w:t>
      </w:r>
    </w:p>
    <w:p>
      <w:pPr>
        <w:overflowPunct w:val="0"/>
        <w:topLinePunct/>
        <w:spacing w:line="620" w:lineRule="exact"/>
        <w:ind w:firstLine="646" w:firstLineChars="200"/>
        <w:rPr>
          <w:rFonts w:hint="eastAsia"/>
        </w:rPr>
      </w:pPr>
      <w:r>
        <w:rPr>
          <w:rFonts w:hint="eastAsia"/>
        </w:rPr>
        <w:t>1.</w:t>
      </w:r>
      <w:r>
        <w:t xml:space="preserve"> </w:t>
      </w:r>
      <w:r>
        <w:rPr>
          <w:rFonts w:hint="eastAsia"/>
        </w:rPr>
        <w:t>因公出国（境）经费支出0万元，完成预算0%。全年安排因公出国（境）团组0次，出国（境）0人。因公出国（境）支出决算比2019年增加0万元，增长0%。</w:t>
      </w:r>
    </w:p>
    <w:p>
      <w:pPr>
        <w:overflowPunct w:val="0"/>
        <w:topLinePunct/>
        <w:spacing w:line="620" w:lineRule="exact"/>
        <w:ind w:firstLine="646" w:firstLineChars="200"/>
        <w:rPr>
          <w:rFonts w:hint="eastAsia"/>
        </w:rPr>
      </w:pPr>
      <w:r>
        <w:rPr>
          <w:rFonts w:hint="eastAsia"/>
        </w:rPr>
        <w:t>2.</w:t>
      </w:r>
      <w:r>
        <w:t xml:space="preserve"> </w:t>
      </w:r>
      <w:r>
        <w:rPr>
          <w:rFonts w:hint="eastAsia"/>
        </w:rPr>
        <w:t>公务用车购置及运行维护费支出0万元,完成预算0%。公务用车购置及运行维护费支出决算比2018年增加0万元，增长0%。</w:t>
      </w:r>
    </w:p>
    <w:p>
      <w:pPr>
        <w:overflowPunct w:val="0"/>
        <w:topLinePunct/>
        <w:spacing w:line="620" w:lineRule="exact"/>
        <w:ind w:firstLine="646" w:firstLineChars="200"/>
        <w:rPr>
          <w:rFonts w:hint="eastAsia"/>
        </w:rPr>
      </w:pPr>
      <w:r>
        <w:rPr>
          <w:rFonts w:hint="eastAsia"/>
        </w:rPr>
        <w:t>其中：公务用车购置支出0万元。全年按规定更新购置公务用车0辆，其中：轿车0辆、金额0万元，越野车0辆、金额0万元，载客汽车0辆、金额0万元。</w:t>
      </w:r>
    </w:p>
    <w:p>
      <w:pPr>
        <w:overflowPunct w:val="0"/>
        <w:topLinePunct/>
        <w:spacing w:line="620" w:lineRule="exact"/>
        <w:ind w:firstLine="646" w:firstLineChars="200"/>
        <w:rPr>
          <w:rFonts w:hint="eastAsia"/>
        </w:rPr>
      </w:pPr>
      <w:r>
        <w:rPr>
          <w:rFonts w:hint="eastAsia"/>
        </w:rPr>
        <w:t>公务用车运行维护费支出0万元。</w:t>
      </w:r>
    </w:p>
    <w:p>
      <w:pPr>
        <w:overflowPunct w:val="0"/>
        <w:topLinePunct/>
        <w:spacing w:line="620" w:lineRule="exact"/>
        <w:ind w:firstLine="646" w:firstLineChars="200"/>
        <w:rPr>
          <w:rFonts w:hint="eastAsia"/>
        </w:rPr>
      </w:pPr>
      <w:r>
        <w:rPr>
          <w:rFonts w:hint="eastAsia"/>
        </w:rPr>
        <w:t>3.</w:t>
      </w:r>
      <w:r>
        <w:t xml:space="preserve"> </w:t>
      </w:r>
      <w:r>
        <w:rPr>
          <w:rFonts w:hint="eastAsia"/>
        </w:rPr>
        <w:t>公务接待费支出0万元，完成预算0%。公务接待费支出决算比2019年减少1.05万元，下降100%。主要原因是受疫情影响。</w:t>
      </w:r>
    </w:p>
    <w:p>
      <w:pPr>
        <w:pStyle w:val="3"/>
        <w:spacing w:before="0" w:after="0" w:line="620" w:lineRule="exact"/>
        <w:ind w:firstLine="646" w:firstLineChars="200"/>
        <w:rPr>
          <w:rStyle w:val="18"/>
          <w:rFonts w:hint="eastAsia" w:ascii="黑体" w:hAnsi="黑体" w:eastAsia="黑体"/>
        </w:rPr>
      </w:pPr>
      <w:bookmarkStart w:id="30" w:name="_Toc15377218"/>
      <w:bookmarkStart w:id="31" w:name="_Toc15396610"/>
      <w:bookmarkStart w:id="32" w:name="_Toc80282380"/>
      <w:r>
        <w:rPr>
          <w:rStyle w:val="18"/>
          <w:rFonts w:hint="eastAsia" w:ascii="黑体" w:hAnsi="黑体" w:eastAsia="黑体"/>
        </w:rPr>
        <w:t>八、政府性基金预算支出决算情况说明</w:t>
      </w:r>
      <w:bookmarkEnd w:id="30"/>
      <w:bookmarkEnd w:id="31"/>
      <w:bookmarkEnd w:id="32"/>
    </w:p>
    <w:p>
      <w:pPr>
        <w:overflowPunct w:val="0"/>
        <w:topLinePunct/>
        <w:spacing w:line="620" w:lineRule="exact"/>
        <w:ind w:firstLine="646" w:firstLineChars="200"/>
        <w:rPr>
          <w:rFonts w:hint="eastAsia"/>
        </w:rPr>
      </w:pPr>
      <w:r>
        <w:rPr>
          <w:rFonts w:hint="eastAsia"/>
        </w:rPr>
        <w:t>2020年政府性基金预算拨款支出0万元。</w:t>
      </w:r>
    </w:p>
    <w:p>
      <w:pPr>
        <w:pStyle w:val="3"/>
        <w:spacing w:before="0" w:after="0" w:line="620" w:lineRule="exact"/>
        <w:ind w:firstLine="646" w:firstLineChars="200"/>
        <w:rPr>
          <w:rStyle w:val="18"/>
          <w:rFonts w:hint="eastAsia" w:ascii="黑体" w:hAnsi="黑体" w:eastAsia="黑体"/>
        </w:rPr>
      </w:pPr>
      <w:bookmarkStart w:id="33" w:name="_Toc15396611"/>
      <w:bookmarkStart w:id="34" w:name="_Toc80282381"/>
      <w:bookmarkStart w:id="35" w:name="_Toc15377219"/>
      <w:r>
        <w:rPr>
          <w:rStyle w:val="18"/>
          <w:rFonts w:hint="eastAsia" w:ascii="黑体" w:hAnsi="黑体" w:eastAsia="黑体"/>
        </w:rPr>
        <w:t>九</w:t>
      </w:r>
      <w:r>
        <w:rPr>
          <w:rStyle w:val="18"/>
          <w:rFonts w:ascii="黑体" w:hAnsi="黑体" w:eastAsia="黑体"/>
        </w:rPr>
        <w:t>、</w:t>
      </w:r>
      <w:r>
        <w:rPr>
          <w:rStyle w:val="18"/>
          <w:rFonts w:hint="eastAsia" w:ascii="黑体" w:hAnsi="黑体" w:eastAsia="黑体"/>
        </w:rPr>
        <w:t>国有资本经营预算支出决算情况说明</w:t>
      </w:r>
      <w:bookmarkEnd w:id="33"/>
      <w:bookmarkEnd w:id="34"/>
      <w:bookmarkEnd w:id="35"/>
    </w:p>
    <w:p>
      <w:pPr>
        <w:overflowPunct w:val="0"/>
        <w:topLinePunct/>
        <w:spacing w:line="620" w:lineRule="exact"/>
        <w:ind w:firstLine="646" w:firstLineChars="200"/>
        <w:rPr>
          <w:rFonts w:hint="eastAsia"/>
        </w:rPr>
      </w:pPr>
      <w:r>
        <w:rPr>
          <w:rFonts w:hint="eastAsia"/>
        </w:rPr>
        <w:t>2020年国有资本经营预算拨款支出0万元。</w:t>
      </w:r>
    </w:p>
    <w:p>
      <w:pPr>
        <w:pStyle w:val="3"/>
        <w:spacing w:before="0" w:after="0" w:line="620" w:lineRule="exact"/>
        <w:ind w:firstLine="646" w:firstLineChars="200"/>
        <w:rPr>
          <w:rStyle w:val="18"/>
          <w:rFonts w:hint="eastAsia" w:ascii="黑体" w:hAnsi="黑体" w:eastAsia="黑体"/>
        </w:rPr>
      </w:pPr>
      <w:bookmarkStart w:id="36" w:name="_Toc15377221"/>
      <w:bookmarkStart w:id="37" w:name="_Toc80282382"/>
      <w:bookmarkStart w:id="38" w:name="_Toc15396612"/>
      <w:r>
        <w:rPr>
          <w:rStyle w:val="18"/>
          <w:rFonts w:hint="eastAsia" w:ascii="黑体" w:hAnsi="黑体" w:eastAsia="黑体"/>
        </w:rPr>
        <w:t>十、其他重要事项的情况说明</w:t>
      </w:r>
      <w:bookmarkEnd w:id="36"/>
      <w:bookmarkEnd w:id="37"/>
      <w:bookmarkEnd w:id="38"/>
    </w:p>
    <w:p>
      <w:pPr>
        <w:overflowPunct w:val="0"/>
        <w:topLinePunct/>
        <w:spacing w:line="620" w:lineRule="exact"/>
        <w:ind w:firstLine="646" w:firstLineChars="200"/>
        <w:rPr>
          <w:rFonts w:hint="eastAsia" w:ascii="楷体_GB2312" w:eastAsia="楷体_GB2312"/>
        </w:rPr>
      </w:pPr>
      <w:bookmarkStart w:id="39" w:name="_Toc15377222"/>
      <w:r>
        <w:rPr>
          <w:rFonts w:hint="eastAsia" w:ascii="楷体_GB2312" w:eastAsia="楷体_GB2312"/>
        </w:rPr>
        <w:t>（一）机关运行经费支出情况</w:t>
      </w:r>
      <w:bookmarkEnd w:id="39"/>
    </w:p>
    <w:p>
      <w:pPr>
        <w:overflowPunct w:val="0"/>
        <w:topLinePunct/>
        <w:spacing w:line="620" w:lineRule="exact"/>
        <w:ind w:firstLine="646" w:firstLineChars="200"/>
        <w:rPr>
          <w:rFonts w:hint="eastAsia"/>
        </w:rPr>
      </w:pPr>
      <w:r>
        <w:rPr>
          <w:rFonts w:hint="eastAsia"/>
        </w:rPr>
        <w:t>2020年，遂宁市票据监管中心机关运行经费支出16.78万元，比2019年增加1.73万元，增长11%（或与2019年决算数持平）。主要原因是目标奖、水、电、物管费较上年增加。</w:t>
      </w:r>
    </w:p>
    <w:p>
      <w:pPr>
        <w:overflowPunct w:val="0"/>
        <w:topLinePunct/>
        <w:spacing w:line="620" w:lineRule="exact"/>
        <w:ind w:firstLine="646" w:firstLineChars="200"/>
        <w:rPr>
          <w:rFonts w:hint="eastAsia" w:ascii="楷体_GB2312" w:eastAsia="楷体_GB2312"/>
        </w:rPr>
      </w:pPr>
      <w:bookmarkStart w:id="40" w:name="_Toc15377223"/>
      <w:r>
        <w:rPr>
          <w:rFonts w:hint="eastAsia" w:ascii="楷体_GB2312" w:eastAsia="楷体_GB2312"/>
        </w:rPr>
        <w:t>（二）政府采购支出情况</w:t>
      </w:r>
      <w:bookmarkEnd w:id="40"/>
    </w:p>
    <w:p>
      <w:pPr>
        <w:overflowPunct w:val="0"/>
        <w:topLinePunct/>
        <w:spacing w:line="620" w:lineRule="exact"/>
        <w:ind w:firstLine="646" w:firstLineChars="200"/>
        <w:rPr>
          <w:rFonts w:hint="eastAsia"/>
        </w:rPr>
      </w:pPr>
      <w:r>
        <w:rPr>
          <w:rFonts w:hint="eastAsia"/>
        </w:rPr>
        <w:t>2020年，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overflowPunct w:val="0"/>
        <w:topLinePunct/>
        <w:spacing w:line="620" w:lineRule="exact"/>
        <w:ind w:firstLine="646" w:firstLineChars="200"/>
        <w:rPr>
          <w:rFonts w:hint="eastAsia" w:ascii="楷体_GB2312" w:eastAsia="楷体_GB2312"/>
        </w:rPr>
      </w:pPr>
      <w:bookmarkStart w:id="41" w:name="_Toc15377224"/>
      <w:r>
        <w:rPr>
          <w:rFonts w:hint="eastAsia" w:ascii="楷体_GB2312" w:eastAsia="楷体_GB2312"/>
        </w:rPr>
        <w:t>（三）国有资产占有使用情况</w:t>
      </w:r>
      <w:bookmarkEnd w:id="41"/>
    </w:p>
    <w:p>
      <w:pPr>
        <w:overflowPunct w:val="0"/>
        <w:topLinePunct/>
        <w:spacing w:line="620" w:lineRule="exact"/>
        <w:ind w:firstLine="646" w:firstLineChars="200"/>
        <w:rPr>
          <w:rFonts w:hint="eastAsia"/>
        </w:rPr>
      </w:pPr>
      <w:r>
        <w:rPr>
          <w:rFonts w:hint="eastAsia"/>
        </w:rPr>
        <w:t>截至2020年12月31日，遂宁市票据监管中心共有车辆0辆，其中：主要领导干部用车0辆、机要通信用车0辆、应急保障用车0辆、其他用车0辆。单价50万元以上通用设备0台（套），单价100万元以上专用设备0台（套）。</w:t>
      </w:r>
    </w:p>
    <w:p>
      <w:pPr>
        <w:overflowPunct w:val="0"/>
        <w:topLinePunct/>
        <w:spacing w:line="620" w:lineRule="exact"/>
        <w:ind w:firstLine="646" w:firstLineChars="200"/>
        <w:rPr>
          <w:rFonts w:hint="eastAsia" w:ascii="楷体_GB2312" w:eastAsia="楷体_GB2312"/>
        </w:rPr>
      </w:pPr>
      <w:r>
        <w:rPr>
          <w:rFonts w:hint="eastAsia" w:ascii="楷体_GB2312" w:eastAsia="楷体_GB2312"/>
        </w:rPr>
        <w:t>（四）预算绩效管理情况。</w:t>
      </w:r>
    </w:p>
    <w:p>
      <w:pPr>
        <w:overflowPunct w:val="0"/>
        <w:topLinePunct/>
        <w:spacing w:line="620" w:lineRule="exact"/>
        <w:ind w:firstLine="646" w:firstLineChars="200"/>
        <w:rPr>
          <w:rFonts w:hint="eastAsia"/>
        </w:rPr>
      </w:pPr>
      <w:r>
        <w:rPr>
          <w:rFonts w:hint="eastAsia"/>
        </w:rPr>
        <w:t>根据预算绩效管理要求，我中心在年初预算编制阶段，组织对工本费、票据技术审核经费项目开展了预算事前绩效评估，对2个项目编制了绩效目标，预算执行过程中，选取2个项目开展绩效监控，年终执行完毕后，对2个项目开展了绩效目标完成情况自评。</w:t>
      </w:r>
    </w:p>
    <w:p>
      <w:pPr>
        <w:overflowPunct w:val="0"/>
        <w:topLinePunct/>
        <w:spacing w:line="620" w:lineRule="exact"/>
        <w:ind w:firstLine="646" w:firstLineChars="200"/>
        <w:rPr>
          <w:rFonts w:hint="eastAsia"/>
        </w:rPr>
      </w:pPr>
      <w:r>
        <w:rPr>
          <w:rFonts w:hint="eastAsia"/>
        </w:rPr>
        <w:t>本部门按要求对2020年部门整体支出开展绩效自评，从评价情况来看，我中心根据《市级部门预算绩效管理工作考核评分表》考核指标、考核内容及计分标准结合我中心具体工作开展情况自评，我中心2020年度整体绩效考核自评得分98分。本部门还自行组织了2个项目支出绩效评价，我中心工本费项目票据管理工作有规可依、有章可循。严格按照票据管理办法管理票据领、用、销；每个季度准时向下征收票据计划，向上上报票据征订计划。准确、有效。自评得分100分。我中心票据技术审核项目，审核人员严格按照票据管理办法执行，强化财政票据源头管理、做好领、用、核环节,实行制度化管理。项目目标申报科学合理，项目目标申报科学合理，根据绩效目标管理要求落实及时。自评得分99分。</w:t>
      </w:r>
    </w:p>
    <w:p>
      <w:pPr>
        <w:overflowPunct w:val="0"/>
        <w:topLinePunct/>
        <w:spacing w:line="620" w:lineRule="exact"/>
        <w:ind w:firstLine="646" w:firstLineChars="200"/>
        <w:rPr>
          <w:b/>
        </w:rPr>
      </w:pPr>
      <w:r>
        <w:rPr>
          <w:rFonts w:hint="eastAsia"/>
          <w:b/>
        </w:rPr>
        <w:t>1. 项目绩效目标完成情况。</w:t>
      </w:r>
    </w:p>
    <w:p>
      <w:pPr>
        <w:overflowPunct w:val="0"/>
        <w:topLinePunct/>
        <w:spacing w:line="620" w:lineRule="exact"/>
        <w:ind w:firstLine="646" w:firstLineChars="200"/>
        <w:rPr>
          <w:rFonts w:hint="eastAsia"/>
        </w:rPr>
      </w:pPr>
      <w:r>
        <w:rPr>
          <w:rFonts w:hint="eastAsia"/>
        </w:rPr>
        <w:t>本部门在2020年度部门决算中反映“工本费”“票据技术审核经费”2个项目绩效目标实际完成情况。</w:t>
      </w:r>
    </w:p>
    <w:p>
      <w:pPr>
        <w:overflowPunct w:val="0"/>
        <w:topLinePunct/>
        <w:spacing w:line="620" w:lineRule="exact"/>
        <w:ind w:firstLine="646" w:firstLineChars="200"/>
        <w:rPr>
          <w:rFonts w:hint="eastAsia"/>
        </w:rPr>
      </w:pPr>
      <w:r>
        <w:rPr>
          <w:rFonts w:hint="eastAsia"/>
        </w:rPr>
        <w:t>（1）工本费项目绩效目标完成情况综述。项目全年预算数50万元，执行数为50万元，完成预算的100%。通过项目实施，确保了我市政府非税收入征收管理顺利开展，有序推进财政纸质票据发放工作。发现的主要问题：电子票据普及率过低。下一步改进措施：加大宣传培训工作力度。</w:t>
      </w:r>
    </w:p>
    <w:p>
      <w:pPr>
        <w:overflowPunct w:val="0"/>
        <w:topLinePunct/>
        <w:spacing w:line="620" w:lineRule="exact"/>
        <w:ind w:firstLine="646" w:firstLineChars="200"/>
      </w:pPr>
      <w:r>
        <w:rPr>
          <w:rFonts w:hint="eastAsia"/>
        </w:rPr>
        <w:t>（2）票据技术审核经费项目绩效目标完成情况综述。项目全年预算数22万元，执行数为21.78万元，完成预算的99%。确保我中心有序的向各区县各用票单位发放财政票据，满足各用票单位使用需求。发现的主要问题：等待电子票据普及化。等待电子版一般缴款书全面上线。下一步改进措施：联系区县，促成票据电子化全面上线。</w:t>
      </w:r>
    </w:p>
    <w:p>
      <w:pPr>
        <w:overflowPunct w:val="0"/>
        <w:topLinePunct/>
        <w:spacing w:line="620" w:lineRule="exact"/>
        <w:ind w:firstLine="646" w:firstLineChars="200"/>
        <w:rPr>
          <w:rFonts w:hint="eastAsia"/>
        </w:rPr>
      </w:pPr>
    </w:p>
    <w:p>
      <w:pPr>
        <w:overflowPunct w:val="0"/>
        <w:topLinePunct/>
        <w:spacing w:line="620" w:lineRule="exact"/>
        <w:jc w:val="center"/>
        <w:rPr>
          <w:rFonts w:hint="eastAsia" w:ascii="黑体" w:hAnsi="黑体" w:eastAsia="黑体"/>
        </w:rPr>
      </w:pPr>
      <w:r>
        <w:rPr>
          <w:rFonts w:hint="eastAsia" w:ascii="黑体" w:hAnsi="黑体" w:eastAsia="黑体"/>
        </w:rPr>
        <w:t>项目绩效目标完成情况表</w:t>
      </w:r>
    </w:p>
    <w:p>
      <w:pPr>
        <w:overflowPunct w:val="0"/>
        <w:topLinePunct/>
        <w:spacing w:line="620" w:lineRule="exact"/>
        <w:jc w:val="center"/>
        <w:rPr>
          <w:rFonts w:hint="eastAsia"/>
        </w:rPr>
      </w:pPr>
      <w:r>
        <w:rPr>
          <w:rFonts w:hint="eastAsia"/>
        </w:rPr>
        <w:t>（2020年度）</w:t>
      </w:r>
    </w:p>
    <w:tbl>
      <w:tblPr>
        <w:tblStyle w:val="10"/>
        <w:tblpPr w:leftFromText="180" w:rightFromText="180" w:vertAnchor="text" w:horzAnchor="page" w:tblpXSpec="center" w:tblpY="423"/>
        <w:tblOverlap w:val="never"/>
        <w:tblW w:w="94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6"/>
        <w:gridCol w:w="1343"/>
        <w:gridCol w:w="1013"/>
        <w:gridCol w:w="1471"/>
        <w:gridCol w:w="2352"/>
        <w:gridCol w:w="2356"/>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396" w:hRule="atLeast"/>
          <w:jc w:val="center"/>
        </w:trPr>
        <w:tc>
          <w:tcPr>
            <w:tcW w:w="3222" w:type="dxa"/>
            <w:gridSpan w:val="3"/>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仿宋"/>
                <w:color w:val="000000"/>
                <w:sz w:val="24"/>
              </w:rPr>
            </w:pPr>
            <w:r>
              <w:rPr>
                <w:rFonts w:hint="eastAsia" w:ascii="宋体" w:hAnsi="宋体" w:eastAsia="宋体" w:cs="宋体"/>
                <w:color w:val="000000"/>
                <w:kern w:val="0"/>
                <w:sz w:val="24"/>
                <w:lang w:bidi="ar"/>
              </w:rPr>
              <w:t>项目名称</w:t>
            </w:r>
          </w:p>
        </w:tc>
        <w:tc>
          <w:tcPr>
            <w:tcW w:w="6193" w:type="dxa"/>
            <w:gridSpan w:val="4"/>
            <w:noWrap w:val="0"/>
            <w:tcMar>
              <w:top w:w="15" w:type="dxa"/>
              <w:left w:w="15" w:type="dxa"/>
              <w:right w:w="15" w:type="dxa"/>
            </w:tcMar>
            <w:vAlign w:val="center"/>
          </w:tcPr>
          <w:p>
            <w:pPr>
              <w:widowControl/>
              <w:spacing w:line="240" w:lineRule="exact"/>
              <w:jc w:val="center"/>
              <w:textAlignment w:val="center"/>
              <w:rPr>
                <w:rFonts w:ascii="宋体" w:hAnsi="宋体" w:eastAsia="宋体" w:cs="仿宋"/>
                <w:color w:val="000000"/>
                <w:sz w:val="24"/>
              </w:rPr>
            </w:pPr>
            <w:r>
              <w:rPr>
                <w:rFonts w:hint="eastAsia" w:ascii="宋体" w:hAnsi="宋体" w:eastAsia="宋体" w:cs="仿宋"/>
                <w:color w:val="000000"/>
                <w:sz w:val="24"/>
              </w:rPr>
              <w:t>工本费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396" w:hRule="atLeast"/>
          <w:jc w:val="center"/>
        </w:trPr>
        <w:tc>
          <w:tcPr>
            <w:tcW w:w="3222" w:type="dxa"/>
            <w:gridSpan w:val="3"/>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仿宋"/>
                <w:color w:val="000000"/>
                <w:sz w:val="24"/>
              </w:rPr>
            </w:pPr>
            <w:r>
              <w:rPr>
                <w:rFonts w:hint="eastAsia" w:ascii="宋体" w:hAnsi="宋体" w:eastAsia="宋体" w:cs="宋体"/>
                <w:color w:val="000000"/>
                <w:kern w:val="0"/>
                <w:sz w:val="24"/>
                <w:lang w:bidi="ar"/>
              </w:rPr>
              <w:t>预算单位</w:t>
            </w:r>
          </w:p>
        </w:tc>
        <w:tc>
          <w:tcPr>
            <w:tcW w:w="6193" w:type="dxa"/>
            <w:gridSpan w:val="4"/>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仿宋"/>
                <w:color w:val="000000"/>
                <w:sz w:val="24"/>
              </w:rPr>
            </w:pPr>
            <w:r>
              <w:rPr>
                <w:rFonts w:hint="eastAsia" w:ascii="宋体" w:hAnsi="宋体" w:eastAsia="宋体" w:cs="宋体"/>
                <w:color w:val="000000"/>
                <w:sz w:val="24"/>
              </w:rPr>
              <w:t>遂宁市票据监管中心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Before w:w="0" w:type="dxa"/>
          <w:wAfter w:w="14" w:type="dxa"/>
          <w:trHeight w:val="405" w:hRule="atLeast"/>
          <w:jc w:val="center"/>
        </w:trPr>
        <w:tc>
          <w:tcPr>
            <w:tcW w:w="866" w:type="dxa"/>
            <w:vMerge w:val="restart"/>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仿宋"/>
                <w:color w:val="000000"/>
                <w:sz w:val="24"/>
              </w:rPr>
            </w:pPr>
            <w:r>
              <w:rPr>
                <w:rFonts w:hint="eastAsia" w:ascii="宋体" w:hAnsi="宋体" w:eastAsia="宋体" w:cs="宋体"/>
                <w:color w:val="000000"/>
                <w:kern w:val="0"/>
                <w:sz w:val="24"/>
                <w:lang w:bidi="ar"/>
              </w:rPr>
              <w:t>预算执行情况</w:t>
            </w:r>
            <w:r>
              <w:rPr>
                <w:rFonts w:ascii="宋体" w:hAnsi="宋体" w:eastAsia="宋体" w:cs="宋体"/>
                <w:color w:val="000000"/>
                <w:kern w:val="0"/>
                <w:sz w:val="24"/>
                <w:lang w:bidi="ar"/>
              </w:rPr>
              <w:t>(</w:t>
            </w:r>
            <w:r>
              <w:rPr>
                <w:rFonts w:hint="eastAsia" w:ascii="宋体" w:hAnsi="宋体" w:eastAsia="宋体" w:cs="宋体"/>
                <w:color w:val="000000"/>
                <w:kern w:val="0"/>
                <w:sz w:val="24"/>
                <w:lang w:bidi="ar"/>
              </w:rPr>
              <w:t>万元</w:t>
            </w:r>
            <w:r>
              <w:rPr>
                <w:rFonts w:ascii="宋体" w:hAnsi="宋体" w:eastAsia="宋体" w:cs="宋体"/>
                <w:color w:val="000000"/>
                <w:kern w:val="0"/>
                <w:sz w:val="24"/>
                <w:lang w:bidi="ar"/>
              </w:rPr>
              <w:t>)</w:t>
            </w:r>
          </w:p>
        </w:tc>
        <w:tc>
          <w:tcPr>
            <w:tcW w:w="2356" w:type="dxa"/>
            <w:gridSpan w:val="2"/>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仿宋"/>
                <w:color w:val="000000"/>
                <w:sz w:val="24"/>
              </w:rPr>
            </w:pPr>
            <w:r>
              <w:rPr>
                <w:rFonts w:hint="eastAsia" w:ascii="宋体" w:hAnsi="宋体" w:eastAsia="宋体" w:cs="宋体"/>
                <w:color w:val="000000"/>
                <w:kern w:val="0"/>
                <w:sz w:val="24"/>
                <w:lang w:bidi="ar"/>
              </w:rPr>
              <w:t>预算数</w:t>
            </w:r>
            <w:r>
              <w:rPr>
                <w:rFonts w:ascii="宋体" w:hAnsi="宋体" w:eastAsia="宋体" w:cs="宋体"/>
                <w:color w:val="000000"/>
                <w:kern w:val="0"/>
                <w:sz w:val="24"/>
                <w:lang w:bidi="ar"/>
              </w:rPr>
              <w:t>:</w:t>
            </w:r>
          </w:p>
        </w:tc>
        <w:tc>
          <w:tcPr>
            <w:tcW w:w="1471" w:type="dxa"/>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仿宋"/>
                <w:color w:val="000000"/>
                <w:sz w:val="24"/>
              </w:rPr>
            </w:pPr>
            <w:r>
              <w:rPr>
                <w:rFonts w:hint="eastAsia" w:ascii="宋体" w:hAnsi="宋体" w:eastAsia="宋体" w:cs="宋体"/>
                <w:color w:val="000000"/>
                <w:sz w:val="24"/>
              </w:rPr>
              <w:t>50万</w:t>
            </w:r>
          </w:p>
        </w:tc>
        <w:tc>
          <w:tcPr>
            <w:tcW w:w="2352" w:type="dxa"/>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仿宋"/>
                <w:color w:val="000000"/>
                <w:sz w:val="24"/>
              </w:rPr>
            </w:pPr>
            <w:r>
              <w:rPr>
                <w:rFonts w:hint="eastAsia" w:ascii="宋体" w:hAnsi="宋体" w:eastAsia="宋体" w:cs="宋体"/>
                <w:color w:val="000000"/>
                <w:kern w:val="0"/>
                <w:sz w:val="24"/>
                <w:lang w:bidi="ar"/>
              </w:rPr>
              <w:t>执行数</w:t>
            </w:r>
            <w:r>
              <w:rPr>
                <w:rFonts w:ascii="宋体" w:hAnsi="宋体" w:eastAsia="宋体" w:cs="宋体"/>
                <w:color w:val="000000"/>
                <w:kern w:val="0"/>
                <w:sz w:val="24"/>
                <w:lang w:bidi="ar"/>
              </w:rPr>
              <w:t>:</w:t>
            </w:r>
          </w:p>
        </w:tc>
        <w:tc>
          <w:tcPr>
            <w:tcW w:w="2356" w:type="dxa"/>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仿宋"/>
                <w:color w:val="000000"/>
                <w:sz w:val="24"/>
              </w:rPr>
            </w:pPr>
            <w:r>
              <w:rPr>
                <w:rFonts w:hint="eastAsia" w:ascii="宋体" w:hAnsi="宋体" w:eastAsia="宋体" w:cs="宋体"/>
                <w:color w:val="000000"/>
                <w:sz w:val="24"/>
              </w:rPr>
              <w:t>50万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Before w:w="0" w:type="dxa"/>
          <w:wAfter w:w="14" w:type="dxa"/>
          <w:trHeight w:val="424" w:hRule="atLeast"/>
          <w:jc w:val="center"/>
        </w:trPr>
        <w:tc>
          <w:tcPr>
            <w:tcW w:w="866" w:type="dxa"/>
            <w:vMerge w:val="continue"/>
            <w:noWrap w:val="0"/>
            <w:tcMar>
              <w:top w:w="15" w:type="dxa"/>
              <w:left w:w="15" w:type="dxa"/>
              <w:right w:w="15" w:type="dxa"/>
            </w:tcMar>
            <w:vAlign w:val="center"/>
          </w:tcPr>
          <w:p>
            <w:pPr>
              <w:spacing w:line="240" w:lineRule="exact"/>
              <w:jc w:val="center"/>
              <w:rPr>
                <w:rFonts w:hint="eastAsia" w:ascii="宋体" w:hAnsi="宋体" w:eastAsia="宋体" w:cs="仿宋"/>
                <w:color w:val="000000"/>
                <w:sz w:val="24"/>
              </w:rPr>
            </w:pPr>
          </w:p>
        </w:tc>
        <w:tc>
          <w:tcPr>
            <w:tcW w:w="2356" w:type="dxa"/>
            <w:gridSpan w:val="2"/>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仿宋"/>
                <w:color w:val="000000"/>
                <w:sz w:val="24"/>
              </w:rPr>
            </w:pPr>
            <w:r>
              <w:rPr>
                <w:rFonts w:hint="eastAsia" w:ascii="宋体" w:hAnsi="宋体" w:eastAsia="宋体" w:cs="宋体"/>
                <w:color w:val="000000"/>
                <w:kern w:val="0"/>
                <w:sz w:val="24"/>
                <w:lang w:bidi="ar"/>
              </w:rPr>
              <w:t>其中</w:t>
            </w:r>
            <w:r>
              <w:rPr>
                <w:rFonts w:ascii="宋体" w:hAnsi="宋体" w:eastAsia="宋体" w:cs="宋体"/>
                <w:color w:val="000000"/>
                <w:kern w:val="0"/>
                <w:sz w:val="24"/>
                <w:lang w:bidi="ar"/>
              </w:rPr>
              <w:t>-</w:t>
            </w:r>
            <w:r>
              <w:rPr>
                <w:rFonts w:hint="eastAsia" w:ascii="宋体" w:hAnsi="宋体" w:eastAsia="宋体" w:cs="宋体"/>
                <w:color w:val="000000"/>
                <w:kern w:val="0"/>
                <w:sz w:val="24"/>
                <w:lang w:bidi="ar"/>
              </w:rPr>
              <w:t>财政拨款</w:t>
            </w:r>
            <w:r>
              <w:rPr>
                <w:rFonts w:ascii="宋体" w:hAnsi="宋体" w:eastAsia="宋体" w:cs="宋体"/>
                <w:color w:val="000000"/>
                <w:kern w:val="0"/>
                <w:sz w:val="24"/>
                <w:lang w:bidi="ar"/>
              </w:rPr>
              <w:t>:</w:t>
            </w:r>
          </w:p>
        </w:tc>
        <w:tc>
          <w:tcPr>
            <w:tcW w:w="1471" w:type="dxa"/>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仿宋"/>
                <w:color w:val="000000"/>
                <w:sz w:val="24"/>
              </w:rPr>
            </w:pPr>
          </w:p>
        </w:tc>
        <w:tc>
          <w:tcPr>
            <w:tcW w:w="2352" w:type="dxa"/>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仿宋"/>
                <w:color w:val="000000"/>
                <w:sz w:val="24"/>
              </w:rPr>
            </w:pPr>
            <w:r>
              <w:rPr>
                <w:rFonts w:hint="eastAsia" w:ascii="宋体" w:hAnsi="宋体" w:eastAsia="宋体" w:cs="宋体"/>
                <w:color w:val="000000"/>
                <w:kern w:val="0"/>
                <w:sz w:val="24"/>
                <w:lang w:bidi="ar"/>
              </w:rPr>
              <w:t>其中</w:t>
            </w:r>
            <w:r>
              <w:rPr>
                <w:rFonts w:ascii="宋体" w:hAnsi="宋体" w:eastAsia="宋体" w:cs="宋体"/>
                <w:color w:val="000000"/>
                <w:kern w:val="0"/>
                <w:sz w:val="24"/>
                <w:lang w:bidi="ar"/>
              </w:rPr>
              <w:t>-</w:t>
            </w:r>
            <w:r>
              <w:rPr>
                <w:rFonts w:hint="eastAsia" w:ascii="宋体" w:hAnsi="宋体" w:eastAsia="宋体" w:cs="宋体"/>
                <w:color w:val="000000"/>
                <w:kern w:val="0"/>
                <w:sz w:val="24"/>
                <w:lang w:bidi="ar"/>
              </w:rPr>
              <w:t>财政拨款</w:t>
            </w:r>
            <w:r>
              <w:rPr>
                <w:rFonts w:ascii="宋体" w:hAnsi="宋体" w:eastAsia="宋体" w:cs="宋体"/>
                <w:color w:val="000000"/>
                <w:kern w:val="0"/>
                <w:sz w:val="24"/>
                <w:lang w:bidi="ar"/>
              </w:rPr>
              <w:t>:</w:t>
            </w:r>
          </w:p>
        </w:tc>
        <w:tc>
          <w:tcPr>
            <w:tcW w:w="2356" w:type="dxa"/>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Before w:w="0" w:type="dxa"/>
          <w:wAfter w:w="14" w:type="dxa"/>
          <w:trHeight w:val="1231" w:hRule="atLeast"/>
          <w:jc w:val="center"/>
        </w:trPr>
        <w:tc>
          <w:tcPr>
            <w:tcW w:w="866" w:type="dxa"/>
            <w:vMerge w:val="continue"/>
            <w:noWrap w:val="0"/>
            <w:tcMar>
              <w:top w:w="15" w:type="dxa"/>
              <w:left w:w="15" w:type="dxa"/>
              <w:right w:w="15" w:type="dxa"/>
            </w:tcMar>
            <w:vAlign w:val="center"/>
          </w:tcPr>
          <w:p>
            <w:pPr>
              <w:spacing w:line="240" w:lineRule="exact"/>
              <w:jc w:val="center"/>
              <w:rPr>
                <w:rFonts w:hint="eastAsia" w:ascii="宋体" w:hAnsi="宋体" w:eastAsia="宋体" w:cs="仿宋"/>
                <w:color w:val="000000"/>
                <w:sz w:val="24"/>
              </w:rPr>
            </w:pPr>
          </w:p>
        </w:tc>
        <w:tc>
          <w:tcPr>
            <w:tcW w:w="2356" w:type="dxa"/>
            <w:gridSpan w:val="2"/>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仿宋"/>
                <w:color w:val="000000"/>
                <w:sz w:val="24"/>
              </w:rPr>
            </w:pPr>
            <w:r>
              <w:rPr>
                <w:rFonts w:hint="eastAsia" w:ascii="宋体" w:hAnsi="宋体" w:eastAsia="宋体" w:cs="宋体"/>
                <w:color w:val="000000"/>
                <w:kern w:val="0"/>
                <w:sz w:val="24"/>
                <w:lang w:bidi="ar"/>
              </w:rPr>
              <w:t>其它资金</w:t>
            </w:r>
            <w:r>
              <w:rPr>
                <w:rFonts w:ascii="宋体" w:hAnsi="宋体" w:eastAsia="宋体" w:cs="宋体"/>
                <w:color w:val="000000"/>
                <w:kern w:val="0"/>
                <w:sz w:val="24"/>
                <w:lang w:bidi="ar"/>
              </w:rPr>
              <w:t>:</w:t>
            </w:r>
          </w:p>
        </w:tc>
        <w:tc>
          <w:tcPr>
            <w:tcW w:w="1471" w:type="dxa"/>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仿宋"/>
                <w:color w:val="000000"/>
                <w:sz w:val="24"/>
              </w:rPr>
            </w:pPr>
            <w:r>
              <w:rPr>
                <w:rFonts w:hint="eastAsia" w:ascii="宋体" w:hAnsi="宋体" w:eastAsia="宋体" w:cs="宋体"/>
                <w:color w:val="000000"/>
                <w:sz w:val="24"/>
              </w:rPr>
              <w:t>无</w:t>
            </w:r>
          </w:p>
        </w:tc>
        <w:tc>
          <w:tcPr>
            <w:tcW w:w="2352" w:type="dxa"/>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仿宋"/>
                <w:color w:val="000000"/>
                <w:sz w:val="24"/>
              </w:rPr>
            </w:pPr>
            <w:r>
              <w:rPr>
                <w:rFonts w:hint="eastAsia" w:ascii="宋体" w:hAnsi="宋体" w:eastAsia="宋体" w:cs="宋体"/>
                <w:color w:val="000000"/>
                <w:kern w:val="0"/>
                <w:sz w:val="24"/>
                <w:lang w:bidi="ar"/>
              </w:rPr>
              <w:t>其它资金</w:t>
            </w:r>
            <w:r>
              <w:rPr>
                <w:rFonts w:ascii="宋体" w:hAnsi="宋体" w:eastAsia="宋体" w:cs="宋体"/>
                <w:color w:val="000000"/>
                <w:kern w:val="0"/>
                <w:sz w:val="24"/>
                <w:lang w:bidi="ar"/>
              </w:rPr>
              <w:t>:</w:t>
            </w:r>
          </w:p>
        </w:tc>
        <w:tc>
          <w:tcPr>
            <w:tcW w:w="2356" w:type="dxa"/>
            <w:noWrap w:val="0"/>
            <w:tcMar>
              <w:top w:w="15" w:type="dxa"/>
              <w:left w:w="15" w:type="dxa"/>
              <w:right w:w="15" w:type="dxa"/>
            </w:tcMar>
            <w:vAlign w:val="center"/>
          </w:tcPr>
          <w:p>
            <w:pPr>
              <w:spacing w:line="240" w:lineRule="exact"/>
              <w:jc w:val="center"/>
              <w:rPr>
                <w:rFonts w:hint="eastAsia" w:ascii="宋体" w:hAnsi="宋体" w:eastAsia="宋体" w:cs="仿宋"/>
                <w:color w:val="000000"/>
                <w:sz w:val="24"/>
              </w:rPr>
            </w:pPr>
            <w:r>
              <w:rPr>
                <w:rFonts w:hint="eastAsia" w:ascii="宋体" w:hAnsi="宋体" w:eastAsia="宋体" w:cs="宋体"/>
                <w:color w:val="000000"/>
                <w:sz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Before w:w="0" w:type="dxa"/>
          <w:wAfter w:w="14" w:type="dxa"/>
          <w:trHeight w:val="535" w:hRule="atLeast"/>
          <w:jc w:val="center"/>
        </w:trPr>
        <w:tc>
          <w:tcPr>
            <w:tcW w:w="866" w:type="dxa"/>
            <w:vMerge w:val="restart"/>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仿宋"/>
                <w:color w:val="000000"/>
                <w:sz w:val="24"/>
              </w:rPr>
            </w:pPr>
            <w:r>
              <w:rPr>
                <w:rFonts w:hint="eastAsia" w:ascii="宋体" w:hAnsi="宋体" w:eastAsia="宋体" w:cs="宋体"/>
                <w:color w:val="000000"/>
                <w:kern w:val="0"/>
                <w:sz w:val="24"/>
                <w:lang w:bidi="ar"/>
              </w:rPr>
              <w:t>年度目标完成情况</w:t>
            </w:r>
          </w:p>
        </w:tc>
        <w:tc>
          <w:tcPr>
            <w:tcW w:w="3827" w:type="dxa"/>
            <w:gridSpan w:val="3"/>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仿宋"/>
                <w:color w:val="000000"/>
                <w:sz w:val="24"/>
              </w:rPr>
            </w:pPr>
            <w:r>
              <w:rPr>
                <w:rFonts w:hint="eastAsia" w:ascii="宋体" w:hAnsi="宋体" w:eastAsia="宋体" w:cs="宋体"/>
                <w:color w:val="000000"/>
                <w:kern w:val="0"/>
                <w:sz w:val="24"/>
                <w:lang w:bidi="ar"/>
              </w:rPr>
              <w:t>预期目标</w:t>
            </w:r>
          </w:p>
        </w:tc>
        <w:tc>
          <w:tcPr>
            <w:tcW w:w="4708" w:type="dxa"/>
            <w:gridSpan w:val="2"/>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仿宋"/>
                <w:color w:val="000000"/>
                <w:sz w:val="24"/>
              </w:rPr>
            </w:pPr>
            <w:r>
              <w:rPr>
                <w:rFonts w:hint="eastAsia" w:ascii="宋体" w:hAnsi="宋体" w:eastAsia="宋体" w:cs="宋体"/>
                <w:color w:val="000000"/>
                <w:kern w:val="0"/>
                <w:sz w:val="24"/>
                <w:lang w:bidi="ar"/>
              </w:rPr>
              <w:t>实际完成目标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Before w:w="0" w:type="dxa"/>
          <w:wAfter w:w="14" w:type="dxa"/>
          <w:trHeight w:val="944" w:hRule="atLeast"/>
          <w:jc w:val="center"/>
        </w:trPr>
        <w:tc>
          <w:tcPr>
            <w:tcW w:w="866" w:type="dxa"/>
            <w:vMerge w:val="continue"/>
            <w:noWrap w:val="0"/>
            <w:tcMar>
              <w:top w:w="15" w:type="dxa"/>
              <w:left w:w="15" w:type="dxa"/>
              <w:right w:w="15" w:type="dxa"/>
            </w:tcMar>
            <w:vAlign w:val="center"/>
          </w:tcPr>
          <w:p>
            <w:pPr>
              <w:spacing w:line="240" w:lineRule="exact"/>
              <w:jc w:val="center"/>
              <w:rPr>
                <w:rFonts w:hint="eastAsia" w:ascii="宋体" w:hAnsi="宋体" w:eastAsia="宋体" w:cs="仿宋"/>
                <w:color w:val="000000"/>
                <w:sz w:val="24"/>
              </w:rPr>
            </w:pPr>
          </w:p>
        </w:tc>
        <w:tc>
          <w:tcPr>
            <w:tcW w:w="3827" w:type="dxa"/>
            <w:gridSpan w:val="3"/>
            <w:noWrap w:val="0"/>
            <w:tcMar>
              <w:top w:w="15" w:type="dxa"/>
              <w:left w:w="15" w:type="dxa"/>
              <w:right w:w="15" w:type="dxa"/>
            </w:tcMar>
            <w:vAlign w:val="center"/>
          </w:tcPr>
          <w:p>
            <w:pPr>
              <w:widowControl/>
              <w:spacing w:line="240" w:lineRule="exact"/>
              <w:jc w:val="center"/>
              <w:textAlignment w:val="center"/>
              <w:rPr>
                <w:rFonts w:ascii="宋体" w:hAnsi="宋体" w:eastAsia="宋体" w:cs="仿宋"/>
                <w:color w:val="000000"/>
                <w:sz w:val="24"/>
              </w:rPr>
            </w:pPr>
            <w:r>
              <w:rPr>
                <w:rFonts w:hint="eastAsia" w:ascii="宋体" w:hAnsi="宋体" w:eastAsia="宋体" w:cs="宋体"/>
                <w:color w:val="000000"/>
                <w:sz w:val="24"/>
              </w:rPr>
              <w:t>确保我是政府非税收入管理顺利开展、有序推进财政票据发放工作</w:t>
            </w:r>
          </w:p>
        </w:tc>
        <w:tc>
          <w:tcPr>
            <w:tcW w:w="4708" w:type="dxa"/>
            <w:gridSpan w:val="2"/>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仿宋"/>
                <w:color w:val="000000"/>
                <w:sz w:val="24"/>
              </w:rPr>
            </w:pPr>
            <w:r>
              <w:rPr>
                <w:rFonts w:hint="eastAsia" w:ascii="宋体" w:hAnsi="宋体" w:eastAsia="宋体" w:cs="宋体"/>
                <w:color w:val="000000"/>
                <w:sz w:val="24"/>
              </w:rPr>
              <w:t>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Before w:w="0" w:type="dxa"/>
          <w:wAfter w:w="14" w:type="dxa"/>
          <w:trHeight w:val="848" w:hRule="atLeast"/>
          <w:jc w:val="center"/>
        </w:trPr>
        <w:tc>
          <w:tcPr>
            <w:tcW w:w="866" w:type="dxa"/>
            <w:vMerge w:val="restart"/>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仿宋"/>
                <w:color w:val="000000"/>
                <w:sz w:val="24"/>
              </w:rPr>
            </w:pPr>
            <w:r>
              <w:rPr>
                <w:rFonts w:hint="eastAsia" w:ascii="宋体" w:hAnsi="宋体" w:eastAsia="宋体" w:cs="宋体"/>
                <w:color w:val="000000"/>
                <w:sz w:val="24"/>
              </w:rPr>
              <w:t>绩效指标完成情况</w:t>
            </w:r>
          </w:p>
        </w:tc>
        <w:tc>
          <w:tcPr>
            <w:tcW w:w="1343" w:type="dxa"/>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仿宋"/>
                <w:color w:val="000000"/>
                <w:sz w:val="24"/>
              </w:rPr>
            </w:pPr>
            <w:r>
              <w:rPr>
                <w:rFonts w:hint="eastAsia" w:ascii="宋体" w:hAnsi="宋体" w:eastAsia="宋体" w:cs="宋体"/>
                <w:color w:val="000000"/>
                <w:kern w:val="0"/>
                <w:sz w:val="24"/>
                <w:lang w:bidi="ar"/>
              </w:rPr>
              <w:t>一级指标</w:t>
            </w:r>
          </w:p>
        </w:tc>
        <w:tc>
          <w:tcPr>
            <w:tcW w:w="1013" w:type="dxa"/>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仿宋"/>
                <w:color w:val="000000"/>
                <w:sz w:val="24"/>
              </w:rPr>
            </w:pPr>
            <w:r>
              <w:rPr>
                <w:rFonts w:hint="eastAsia" w:ascii="宋体" w:hAnsi="宋体" w:eastAsia="宋体" w:cs="宋体"/>
                <w:color w:val="000000"/>
                <w:kern w:val="0"/>
                <w:sz w:val="24"/>
                <w:lang w:bidi="ar"/>
              </w:rPr>
              <w:t>二级指标</w:t>
            </w:r>
          </w:p>
        </w:tc>
        <w:tc>
          <w:tcPr>
            <w:tcW w:w="1471" w:type="dxa"/>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仿宋"/>
                <w:color w:val="000000"/>
                <w:sz w:val="24"/>
              </w:rPr>
            </w:pPr>
            <w:r>
              <w:rPr>
                <w:rFonts w:hint="eastAsia" w:ascii="宋体" w:hAnsi="宋体" w:eastAsia="宋体" w:cs="宋体"/>
                <w:color w:val="000000"/>
                <w:kern w:val="0"/>
                <w:sz w:val="24"/>
                <w:lang w:bidi="ar"/>
              </w:rPr>
              <w:t>三级指标</w:t>
            </w:r>
          </w:p>
        </w:tc>
        <w:tc>
          <w:tcPr>
            <w:tcW w:w="2352" w:type="dxa"/>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仿宋"/>
                <w:color w:val="000000"/>
                <w:sz w:val="24"/>
              </w:rPr>
            </w:pPr>
            <w:r>
              <w:rPr>
                <w:rFonts w:hint="eastAsia" w:ascii="宋体" w:hAnsi="宋体" w:eastAsia="宋体" w:cs="宋体"/>
                <w:color w:val="000000"/>
                <w:kern w:val="0"/>
                <w:sz w:val="24"/>
                <w:lang w:bidi="ar"/>
              </w:rPr>
              <w:t>预期指标值</w:t>
            </w:r>
            <w:r>
              <w:rPr>
                <w:rFonts w:ascii="宋体" w:hAnsi="宋体" w:eastAsia="宋体" w:cs="宋体"/>
                <w:color w:val="000000"/>
                <w:kern w:val="0"/>
                <w:sz w:val="24"/>
                <w:lang w:bidi="ar"/>
              </w:rPr>
              <w:t>(</w:t>
            </w:r>
            <w:r>
              <w:rPr>
                <w:rFonts w:hint="eastAsia" w:ascii="宋体" w:hAnsi="宋体" w:eastAsia="宋体" w:cs="宋体"/>
                <w:color w:val="000000"/>
                <w:kern w:val="0"/>
                <w:sz w:val="24"/>
                <w:lang w:bidi="ar"/>
              </w:rPr>
              <w:t>包含数字及文字描述</w:t>
            </w:r>
            <w:r>
              <w:rPr>
                <w:rFonts w:ascii="宋体" w:hAnsi="宋体" w:eastAsia="宋体" w:cs="宋体"/>
                <w:color w:val="000000"/>
                <w:kern w:val="0"/>
                <w:sz w:val="24"/>
                <w:lang w:bidi="ar"/>
              </w:rPr>
              <w:t>)</w:t>
            </w:r>
          </w:p>
        </w:tc>
        <w:tc>
          <w:tcPr>
            <w:tcW w:w="2356" w:type="dxa"/>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仿宋"/>
                <w:color w:val="000000"/>
                <w:sz w:val="24"/>
              </w:rPr>
            </w:pPr>
            <w:r>
              <w:rPr>
                <w:rFonts w:hint="eastAsia" w:ascii="宋体" w:hAnsi="宋体" w:eastAsia="宋体" w:cs="宋体"/>
                <w:color w:val="000000"/>
                <w:kern w:val="0"/>
                <w:sz w:val="24"/>
                <w:lang w:bidi="ar"/>
              </w:rPr>
              <w:t>实际完成指标值</w:t>
            </w:r>
            <w:r>
              <w:rPr>
                <w:rFonts w:ascii="宋体" w:hAnsi="宋体" w:eastAsia="宋体" w:cs="宋体"/>
                <w:color w:val="000000"/>
                <w:kern w:val="0"/>
                <w:sz w:val="24"/>
                <w:lang w:bidi="ar"/>
              </w:rPr>
              <w:t>(</w:t>
            </w:r>
            <w:r>
              <w:rPr>
                <w:rFonts w:hint="eastAsia" w:ascii="宋体" w:hAnsi="宋体" w:eastAsia="宋体" w:cs="宋体"/>
                <w:color w:val="000000"/>
                <w:kern w:val="0"/>
                <w:sz w:val="24"/>
                <w:lang w:bidi="ar"/>
              </w:rPr>
              <w:t>包含数字及文字描述</w:t>
            </w:r>
            <w:r>
              <w:rPr>
                <w:rFonts w:ascii="宋体" w:hAnsi="宋体" w:eastAsia="宋体" w:cs="宋体"/>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Before w:w="0" w:type="dxa"/>
          <w:wAfter w:w="14" w:type="dxa"/>
          <w:trHeight w:val="776" w:hRule="atLeast"/>
          <w:jc w:val="center"/>
        </w:trPr>
        <w:tc>
          <w:tcPr>
            <w:tcW w:w="866" w:type="dxa"/>
            <w:vMerge w:val="continue"/>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仿宋"/>
                <w:color w:val="000000"/>
                <w:sz w:val="24"/>
              </w:rPr>
            </w:pPr>
          </w:p>
        </w:tc>
        <w:tc>
          <w:tcPr>
            <w:tcW w:w="1343"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项目完成</w:t>
            </w:r>
          </w:p>
          <w:p>
            <w:pPr>
              <w:widowControl/>
              <w:spacing w:line="240" w:lineRule="exact"/>
              <w:jc w:val="center"/>
              <w:textAlignment w:val="center"/>
              <w:rPr>
                <w:rFonts w:hint="eastAsia" w:ascii="宋体" w:hAnsi="宋体" w:eastAsia="宋体" w:cs="仿宋"/>
                <w:color w:val="000000"/>
                <w:sz w:val="24"/>
              </w:rPr>
            </w:pPr>
            <w:r>
              <w:rPr>
                <w:rFonts w:hint="eastAsia" w:ascii="宋体" w:hAnsi="宋体" w:eastAsia="宋体" w:cs="宋体"/>
                <w:color w:val="000000"/>
                <w:kern w:val="0"/>
                <w:sz w:val="24"/>
                <w:lang w:bidi="ar"/>
              </w:rPr>
              <w:t>指标</w:t>
            </w:r>
          </w:p>
        </w:tc>
        <w:tc>
          <w:tcPr>
            <w:tcW w:w="1013" w:type="dxa"/>
            <w:noWrap w:val="0"/>
            <w:tcMar>
              <w:top w:w="15" w:type="dxa"/>
              <w:left w:w="15" w:type="dxa"/>
              <w:right w:w="15" w:type="dxa"/>
            </w:tcMar>
            <w:vAlign w:val="center"/>
          </w:tcPr>
          <w:p>
            <w:pPr>
              <w:widowControl/>
              <w:spacing w:line="240" w:lineRule="exact"/>
              <w:jc w:val="center"/>
              <w:textAlignment w:val="center"/>
              <w:rPr>
                <w:rFonts w:ascii="宋体" w:hAnsi="宋体" w:eastAsia="宋体" w:cs="仿宋"/>
                <w:color w:val="000000"/>
                <w:sz w:val="24"/>
              </w:rPr>
            </w:pPr>
            <w:r>
              <w:rPr>
                <w:rFonts w:hint="eastAsia" w:ascii="宋体" w:hAnsi="宋体" w:eastAsia="宋体" w:cs="仿宋"/>
                <w:color w:val="000000"/>
                <w:sz w:val="24"/>
              </w:rPr>
              <w:t>数量指标</w:t>
            </w:r>
          </w:p>
        </w:tc>
        <w:tc>
          <w:tcPr>
            <w:tcW w:w="1471" w:type="dxa"/>
            <w:noWrap w:val="0"/>
            <w:tcMar>
              <w:top w:w="15" w:type="dxa"/>
              <w:left w:w="15" w:type="dxa"/>
              <w:right w:w="15" w:type="dxa"/>
            </w:tcMar>
            <w:vAlign w:val="center"/>
          </w:tcPr>
          <w:p>
            <w:pPr>
              <w:widowControl/>
              <w:spacing w:line="240" w:lineRule="exact"/>
              <w:jc w:val="center"/>
              <w:textAlignment w:val="center"/>
              <w:rPr>
                <w:rFonts w:ascii="宋体" w:hAnsi="宋体" w:eastAsia="宋体" w:cs="仿宋"/>
                <w:color w:val="000000"/>
                <w:sz w:val="24"/>
              </w:rPr>
            </w:pPr>
            <w:r>
              <w:rPr>
                <w:rFonts w:hint="eastAsia" w:ascii="宋体" w:hAnsi="宋体" w:eastAsia="宋体" w:cs="宋体"/>
                <w:color w:val="000000"/>
                <w:sz w:val="24"/>
              </w:rPr>
              <w:t>预算经费</w:t>
            </w:r>
          </w:p>
        </w:tc>
        <w:tc>
          <w:tcPr>
            <w:tcW w:w="2352" w:type="dxa"/>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仿宋"/>
                <w:color w:val="000000"/>
                <w:sz w:val="24"/>
              </w:rPr>
            </w:pPr>
            <w:r>
              <w:rPr>
                <w:rFonts w:hint="eastAsia" w:ascii="宋体" w:hAnsi="宋体" w:eastAsia="宋体" w:cs="宋体"/>
                <w:color w:val="000000"/>
                <w:sz w:val="24"/>
              </w:rPr>
              <w:t>财政票据经费预算达50万元。</w:t>
            </w:r>
          </w:p>
        </w:tc>
        <w:tc>
          <w:tcPr>
            <w:tcW w:w="2356" w:type="dxa"/>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仿宋"/>
                <w:color w:val="000000"/>
                <w:sz w:val="24"/>
              </w:rPr>
            </w:pPr>
            <w:r>
              <w:rPr>
                <w:rFonts w:hint="eastAsia" w:ascii="宋体" w:hAnsi="宋体" w:eastAsia="宋体" w:cs="宋体"/>
                <w:color w:val="000000"/>
                <w:sz w:val="24"/>
              </w:rPr>
              <w:t>全部完成预期目标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Before w:w="0" w:type="dxa"/>
          <w:wAfter w:w="14" w:type="dxa"/>
          <w:trHeight w:val="848" w:hRule="atLeast"/>
          <w:jc w:val="center"/>
        </w:trPr>
        <w:tc>
          <w:tcPr>
            <w:tcW w:w="866" w:type="dxa"/>
            <w:vMerge w:val="continue"/>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仿宋"/>
                <w:color w:val="000000"/>
                <w:sz w:val="24"/>
              </w:rPr>
            </w:pPr>
          </w:p>
        </w:tc>
        <w:tc>
          <w:tcPr>
            <w:tcW w:w="1343"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项目完成</w:t>
            </w:r>
          </w:p>
          <w:p>
            <w:pPr>
              <w:widowControl/>
              <w:spacing w:line="240" w:lineRule="exact"/>
              <w:jc w:val="center"/>
              <w:textAlignment w:val="center"/>
              <w:rPr>
                <w:rFonts w:hint="eastAsia" w:ascii="宋体" w:hAnsi="宋体" w:eastAsia="宋体" w:cs="仿宋"/>
                <w:color w:val="000000"/>
                <w:sz w:val="24"/>
              </w:rPr>
            </w:pPr>
            <w:r>
              <w:rPr>
                <w:rFonts w:hint="eastAsia" w:ascii="宋体" w:hAnsi="宋体" w:eastAsia="宋体" w:cs="宋体"/>
                <w:color w:val="000000"/>
                <w:kern w:val="0"/>
                <w:sz w:val="24"/>
                <w:lang w:bidi="ar"/>
              </w:rPr>
              <w:t>指标</w:t>
            </w:r>
          </w:p>
        </w:tc>
        <w:tc>
          <w:tcPr>
            <w:tcW w:w="1013" w:type="dxa"/>
            <w:noWrap w:val="0"/>
            <w:tcMar>
              <w:top w:w="15" w:type="dxa"/>
              <w:left w:w="15" w:type="dxa"/>
              <w:right w:w="15" w:type="dxa"/>
            </w:tcMar>
            <w:vAlign w:val="center"/>
          </w:tcPr>
          <w:p>
            <w:pPr>
              <w:widowControl/>
              <w:spacing w:line="240" w:lineRule="exact"/>
              <w:jc w:val="center"/>
              <w:textAlignment w:val="center"/>
              <w:rPr>
                <w:rFonts w:ascii="宋体" w:hAnsi="宋体" w:eastAsia="宋体" w:cs="仿宋"/>
                <w:color w:val="000000"/>
                <w:sz w:val="24"/>
              </w:rPr>
            </w:pPr>
            <w:r>
              <w:rPr>
                <w:rFonts w:hint="eastAsia" w:ascii="宋体" w:hAnsi="宋体" w:eastAsia="宋体" w:cs="仿宋"/>
                <w:color w:val="000000"/>
                <w:sz w:val="24"/>
              </w:rPr>
              <w:t>质量指标</w:t>
            </w:r>
          </w:p>
        </w:tc>
        <w:tc>
          <w:tcPr>
            <w:tcW w:w="1471" w:type="dxa"/>
            <w:noWrap w:val="0"/>
            <w:tcMar>
              <w:top w:w="15" w:type="dxa"/>
              <w:left w:w="15" w:type="dxa"/>
              <w:right w:w="15" w:type="dxa"/>
            </w:tcMar>
            <w:vAlign w:val="center"/>
          </w:tcPr>
          <w:p>
            <w:pPr>
              <w:widowControl/>
              <w:spacing w:line="240" w:lineRule="exact"/>
              <w:jc w:val="center"/>
              <w:textAlignment w:val="center"/>
              <w:rPr>
                <w:rFonts w:ascii="宋体" w:hAnsi="宋体" w:eastAsia="宋体" w:cs="仿宋"/>
                <w:color w:val="000000"/>
                <w:sz w:val="24"/>
              </w:rPr>
            </w:pPr>
            <w:r>
              <w:rPr>
                <w:rFonts w:hint="eastAsia" w:ascii="宋体" w:hAnsi="宋体" w:eastAsia="宋体" w:cs="宋体"/>
                <w:color w:val="000000"/>
                <w:sz w:val="24"/>
              </w:rPr>
              <w:t>时效指标</w:t>
            </w:r>
          </w:p>
        </w:tc>
        <w:tc>
          <w:tcPr>
            <w:tcW w:w="2352" w:type="dxa"/>
            <w:noWrap w:val="0"/>
            <w:tcMar>
              <w:top w:w="15" w:type="dxa"/>
              <w:left w:w="15" w:type="dxa"/>
              <w:right w:w="15" w:type="dxa"/>
            </w:tcMar>
            <w:vAlign w:val="center"/>
          </w:tcPr>
          <w:p>
            <w:pPr>
              <w:widowControl/>
              <w:spacing w:line="240" w:lineRule="exact"/>
              <w:jc w:val="center"/>
              <w:textAlignment w:val="center"/>
              <w:rPr>
                <w:rFonts w:ascii="宋体" w:hAnsi="宋体" w:eastAsia="宋体" w:cs="仿宋"/>
                <w:color w:val="000000"/>
                <w:sz w:val="24"/>
              </w:rPr>
            </w:pPr>
            <w:r>
              <w:rPr>
                <w:rFonts w:hint="eastAsia" w:ascii="宋体" w:hAnsi="宋体" w:eastAsia="宋体" w:cs="宋体"/>
                <w:color w:val="000000"/>
                <w:sz w:val="24"/>
              </w:rPr>
              <w:t>认真按照省厅要求，及时汇报每年用票计划。</w:t>
            </w:r>
          </w:p>
        </w:tc>
        <w:tc>
          <w:tcPr>
            <w:tcW w:w="2356" w:type="dxa"/>
            <w:noWrap w:val="0"/>
            <w:tcMar>
              <w:top w:w="15" w:type="dxa"/>
              <w:left w:w="15" w:type="dxa"/>
              <w:right w:w="15" w:type="dxa"/>
            </w:tcMar>
            <w:vAlign w:val="center"/>
          </w:tcPr>
          <w:p>
            <w:pPr>
              <w:widowControl/>
              <w:spacing w:line="240" w:lineRule="exact"/>
              <w:jc w:val="center"/>
              <w:textAlignment w:val="center"/>
              <w:rPr>
                <w:rFonts w:ascii="宋体" w:hAnsi="宋体" w:eastAsia="宋体" w:cs="仿宋"/>
                <w:color w:val="000000"/>
                <w:sz w:val="24"/>
              </w:rPr>
            </w:pPr>
            <w:r>
              <w:rPr>
                <w:rFonts w:hint="eastAsia" w:ascii="宋体" w:hAnsi="宋体" w:eastAsia="宋体" w:cs="宋体"/>
                <w:color w:val="000000"/>
                <w:sz w:val="24"/>
              </w:rPr>
              <w:t>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Before w:w="0" w:type="dxa"/>
          <w:wAfter w:w="14" w:type="dxa"/>
          <w:trHeight w:val="820" w:hRule="atLeast"/>
          <w:jc w:val="center"/>
        </w:trPr>
        <w:tc>
          <w:tcPr>
            <w:tcW w:w="866" w:type="dxa"/>
            <w:vMerge w:val="continue"/>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仿宋"/>
                <w:color w:val="000000"/>
                <w:sz w:val="24"/>
              </w:rPr>
            </w:pPr>
          </w:p>
        </w:tc>
        <w:tc>
          <w:tcPr>
            <w:tcW w:w="1343"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项目完成</w:t>
            </w:r>
          </w:p>
          <w:p>
            <w:pPr>
              <w:widowControl/>
              <w:spacing w:line="240" w:lineRule="exact"/>
              <w:jc w:val="center"/>
              <w:textAlignment w:val="center"/>
              <w:rPr>
                <w:rFonts w:hint="eastAsia" w:ascii="宋体" w:hAnsi="宋体" w:eastAsia="宋体" w:cs="仿宋"/>
                <w:color w:val="000000"/>
                <w:sz w:val="24"/>
              </w:rPr>
            </w:pPr>
            <w:r>
              <w:rPr>
                <w:rFonts w:hint="eastAsia" w:ascii="宋体" w:hAnsi="宋体" w:eastAsia="宋体" w:cs="宋体"/>
                <w:color w:val="000000"/>
                <w:kern w:val="0"/>
                <w:sz w:val="24"/>
                <w:lang w:bidi="ar"/>
              </w:rPr>
              <w:t>指标</w:t>
            </w:r>
          </w:p>
        </w:tc>
        <w:tc>
          <w:tcPr>
            <w:tcW w:w="1013" w:type="dxa"/>
            <w:noWrap w:val="0"/>
            <w:tcMar>
              <w:top w:w="15" w:type="dxa"/>
              <w:left w:w="15" w:type="dxa"/>
              <w:right w:w="15" w:type="dxa"/>
            </w:tcMar>
            <w:vAlign w:val="center"/>
          </w:tcPr>
          <w:p>
            <w:pPr>
              <w:widowControl/>
              <w:spacing w:line="240" w:lineRule="exact"/>
              <w:jc w:val="center"/>
              <w:textAlignment w:val="center"/>
              <w:rPr>
                <w:rFonts w:ascii="宋体" w:hAnsi="宋体" w:eastAsia="宋体" w:cs="仿宋"/>
                <w:color w:val="000000"/>
                <w:sz w:val="24"/>
              </w:rPr>
            </w:pPr>
            <w:r>
              <w:rPr>
                <w:rFonts w:hint="eastAsia" w:ascii="宋体" w:hAnsi="宋体" w:eastAsia="宋体" w:cs="仿宋"/>
                <w:color w:val="000000"/>
                <w:sz w:val="24"/>
              </w:rPr>
              <w:t>时效指标</w:t>
            </w:r>
          </w:p>
        </w:tc>
        <w:tc>
          <w:tcPr>
            <w:tcW w:w="1471" w:type="dxa"/>
            <w:noWrap w:val="0"/>
            <w:tcMar>
              <w:top w:w="15" w:type="dxa"/>
              <w:left w:w="15" w:type="dxa"/>
              <w:right w:w="15" w:type="dxa"/>
            </w:tcMar>
            <w:vAlign w:val="center"/>
          </w:tcPr>
          <w:p>
            <w:pPr>
              <w:widowControl/>
              <w:spacing w:line="240" w:lineRule="exact"/>
              <w:jc w:val="center"/>
              <w:textAlignment w:val="center"/>
              <w:rPr>
                <w:rFonts w:ascii="宋体" w:hAnsi="宋体" w:eastAsia="宋体" w:cs="仿宋"/>
                <w:color w:val="000000"/>
                <w:sz w:val="24"/>
              </w:rPr>
            </w:pPr>
            <w:r>
              <w:rPr>
                <w:rFonts w:hint="eastAsia" w:ascii="宋体" w:hAnsi="宋体" w:eastAsia="宋体" w:cs="宋体"/>
                <w:color w:val="000000"/>
                <w:sz w:val="24"/>
              </w:rPr>
              <w:t>印制计划</w:t>
            </w:r>
          </w:p>
        </w:tc>
        <w:tc>
          <w:tcPr>
            <w:tcW w:w="2352" w:type="dxa"/>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仿宋"/>
                <w:color w:val="000000"/>
                <w:sz w:val="24"/>
              </w:rPr>
            </w:pPr>
            <w:r>
              <w:rPr>
                <w:rFonts w:hint="eastAsia" w:ascii="宋体" w:hAnsi="宋体" w:eastAsia="宋体" w:cs="宋体"/>
                <w:color w:val="000000"/>
                <w:sz w:val="24"/>
              </w:rPr>
              <w:t>按2020年票据印制计划。完成票据印制计划6000箱。</w:t>
            </w:r>
          </w:p>
        </w:tc>
        <w:tc>
          <w:tcPr>
            <w:tcW w:w="2356" w:type="dxa"/>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仿宋"/>
                <w:color w:val="000000"/>
                <w:sz w:val="24"/>
              </w:rPr>
            </w:pPr>
            <w:r>
              <w:rPr>
                <w:rFonts w:hint="eastAsia" w:ascii="宋体" w:hAnsi="宋体" w:eastAsia="宋体" w:cs="宋体"/>
                <w:color w:val="000000"/>
                <w:sz w:val="24"/>
              </w:rPr>
              <w:t>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Before w:w="0" w:type="dxa"/>
          <w:wAfter w:w="14" w:type="dxa"/>
          <w:trHeight w:val="1056" w:hRule="atLeast"/>
          <w:jc w:val="center"/>
        </w:trPr>
        <w:tc>
          <w:tcPr>
            <w:tcW w:w="866" w:type="dxa"/>
            <w:vMerge w:val="continue"/>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仿宋"/>
                <w:color w:val="000000"/>
                <w:sz w:val="24"/>
              </w:rPr>
            </w:pPr>
          </w:p>
        </w:tc>
        <w:tc>
          <w:tcPr>
            <w:tcW w:w="1343"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项目完成</w:t>
            </w:r>
          </w:p>
          <w:p>
            <w:pPr>
              <w:widowControl/>
              <w:spacing w:line="240" w:lineRule="exact"/>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lang w:bidi="ar"/>
              </w:rPr>
              <w:t>指标</w:t>
            </w:r>
          </w:p>
        </w:tc>
        <w:tc>
          <w:tcPr>
            <w:tcW w:w="1013"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成本指标</w:t>
            </w:r>
          </w:p>
        </w:tc>
        <w:tc>
          <w:tcPr>
            <w:tcW w:w="1471"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rPr>
              <w:t>验收合格率</w:t>
            </w:r>
          </w:p>
        </w:tc>
        <w:tc>
          <w:tcPr>
            <w:tcW w:w="2352"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rPr>
              <w:t>在票据入库时，严格把控票据质量，确保票据完整性，完整性达100%。</w:t>
            </w:r>
          </w:p>
        </w:tc>
        <w:tc>
          <w:tcPr>
            <w:tcW w:w="2356" w:type="dxa"/>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rPr>
              <w:t>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Before w:w="0" w:type="dxa"/>
          <w:wAfter w:w="14" w:type="dxa"/>
          <w:trHeight w:val="734" w:hRule="atLeast"/>
          <w:jc w:val="center"/>
        </w:trPr>
        <w:tc>
          <w:tcPr>
            <w:tcW w:w="866" w:type="dxa"/>
            <w:vMerge w:val="continue"/>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仿宋"/>
                <w:color w:val="000000"/>
                <w:sz w:val="24"/>
              </w:rPr>
            </w:pPr>
          </w:p>
        </w:tc>
        <w:tc>
          <w:tcPr>
            <w:tcW w:w="1343" w:type="dxa"/>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lang w:bidi="ar"/>
              </w:rPr>
              <w:t>效益指标</w:t>
            </w:r>
          </w:p>
        </w:tc>
        <w:tc>
          <w:tcPr>
            <w:tcW w:w="1013"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社会效益</w:t>
            </w:r>
          </w:p>
        </w:tc>
        <w:tc>
          <w:tcPr>
            <w:tcW w:w="1471"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社会效益</w:t>
            </w:r>
          </w:p>
        </w:tc>
        <w:tc>
          <w:tcPr>
            <w:tcW w:w="2352" w:type="dxa"/>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szCs w:val="24"/>
              </w:rPr>
              <w:t>有序发放财政票据，确保各区县、各用票单位财政工作顺利开展。</w:t>
            </w:r>
          </w:p>
        </w:tc>
        <w:tc>
          <w:tcPr>
            <w:tcW w:w="2356" w:type="dxa"/>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rPr>
              <w:t>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Before w:w="0" w:type="dxa"/>
          <w:wAfter w:w="14" w:type="dxa"/>
          <w:trHeight w:val="688" w:hRule="atLeast"/>
          <w:jc w:val="center"/>
        </w:trPr>
        <w:tc>
          <w:tcPr>
            <w:tcW w:w="866" w:type="dxa"/>
            <w:vMerge w:val="continue"/>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仿宋"/>
                <w:color w:val="000000"/>
                <w:sz w:val="24"/>
              </w:rPr>
            </w:pPr>
          </w:p>
        </w:tc>
        <w:tc>
          <w:tcPr>
            <w:tcW w:w="1343" w:type="dxa"/>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lang w:bidi="ar"/>
              </w:rPr>
              <w:t>效益指标</w:t>
            </w:r>
          </w:p>
        </w:tc>
        <w:tc>
          <w:tcPr>
            <w:tcW w:w="1013"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生态效益指标</w:t>
            </w:r>
          </w:p>
        </w:tc>
        <w:tc>
          <w:tcPr>
            <w:tcW w:w="1471"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社会效益</w:t>
            </w:r>
          </w:p>
        </w:tc>
        <w:tc>
          <w:tcPr>
            <w:tcW w:w="2352" w:type="dxa"/>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rPr>
              <w:t>合理制定用票计划，不多订，不浪费。</w:t>
            </w:r>
          </w:p>
        </w:tc>
        <w:tc>
          <w:tcPr>
            <w:tcW w:w="2356" w:type="dxa"/>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rPr>
              <w:t>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Before w:w="0" w:type="dxa"/>
          <w:wAfter w:w="14" w:type="dxa"/>
          <w:trHeight w:val="685" w:hRule="atLeast"/>
          <w:jc w:val="center"/>
        </w:trPr>
        <w:tc>
          <w:tcPr>
            <w:tcW w:w="866" w:type="dxa"/>
            <w:vMerge w:val="continue"/>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仿宋"/>
                <w:color w:val="000000"/>
                <w:sz w:val="24"/>
              </w:rPr>
            </w:pPr>
          </w:p>
        </w:tc>
        <w:tc>
          <w:tcPr>
            <w:tcW w:w="1343" w:type="dxa"/>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lang w:bidi="ar"/>
              </w:rPr>
              <w:t>满意度指标</w:t>
            </w:r>
          </w:p>
        </w:tc>
        <w:tc>
          <w:tcPr>
            <w:tcW w:w="1013"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szCs w:val="24"/>
              </w:rPr>
              <w:t>满意度指标</w:t>
            </w:r>
          </w:p>
        </w:tc>
        <w:tc>
          <w:tcPr>
            <w:tcW w:w="1471" w:type="dxa"/>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rPr>
              <w:t>满意度</w:t>
            </w:r>
          </w:p>
        </w:tc>
        <w:tc>
          <w:tcPr>
            <w:tcW w:w="2352"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sz w:val="24"/>
                <w:szCs w:val="24"/>
              </w:rPr>
            </w:pPr>
            <w:r>
              <w:rPr>
                <w:rFonts w:hint="eastAsia" w:ascii="宋体" w:hAnsi="宋体" w:eastAsia="宋体" w:cs="宋体"/>
                <w:color w:val="000000"/>
                <w:sz w:val="24"/>
              </w:rPr>
              <w:t>各区县、各用票单位满意度达100%。</w:t>
            </w:r>
          </w:p>
        </w:tc>
        <w:tc>
          <w:tcPr>
            <w:tcW w:w="2356" w:type="dxa"/>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sz w:val="24"/>
                <w:szCs w:val="24"/>
              </w:rPr>
            </w:pPr>
            <w:r>
              <w:rPr>
                <w:rFonts w:hint="eastAsia" w:ascii="宋体" w:hAnsi="宋体" w:eastAsia="宋体" w:cs="宋体"/>
                <w:color w:val="000000"/>
                <w:sz w:val="24"/>
              </w:rPr>
              <w:t>满意度100%全部完成</w:t>
            </w:r>
          </w:p>
        </w:tc>
      </w:tr>
    </w:tbl>
    <w:p>
      <w:pPr>
        <w:overflowPunct w:val="0"/>
        <w:topLinePunct/>
        <w:spacing w:line="620" w:lineRule="exact"/>
        <w:ind w:firstLine="646" w:firstLineChars="200"/>
      </w:pPr>
    </w:p>
    <w:p>
      <w:pPr>
        <w:overflowPunct w:val="0"/>
        <w:topLinePunct/>
        <w:spacing w:line="620" w:lineRule="exact"/>
        <w:jc w:val="center"/>
        <w:rPr>
          <w:rFonts w:ascii="黑体" w:hAnsi="黑体" w:eastAsia="黑体"/>
        </w:rPr>
      </w:pPr>
      <w:r>
        <w:rPr>
          <w:rFonts w:hint="eastAsia" w:ascii="黑体" w:hAnsi="黑体" w:eastAsia="黑体"/>
        </w:rPr>
        <w:t>项目绩效目标完成情况表</w:t>
      </w:r>
    </w:p>
    <w:p>
      <w:pPr>
        <w:overflowPunct w:val="0"/>
        <w:topLinePunct/>
        <w:spacing w:line="620" w:lineRule="exact"/>
        <w:jc w:val="center"/>
        <w:rPr>
          <w:rFonts w:hint="eastAsia"/>
        </w:rPr>
      </w:pPr>
      <w:r>
        <w:rPr>
          <w:rFonts w:hint="eastAsia"/>
        </w:rPr>
        <w:t>（2020年度）</w:t>
      </w:r>
    </w:p>
    <w:tbl>
      <w:tblPr>
        <w:tblStyle w:val="10"/>
        <w:tblpPr w:leftFromText="180" w:rightFromText="180" w:vertAnchor="text" w:horzAnchor="page" w:tblpXSpec="center" w:tblpY="423"/>
        <w:tblOverlap w:val="never"/>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65"/>
        <w:gridCol w:w="1134"/>
        <w:gridCol w:w="1017"/>
        <w:gridCol w:w="9"/>
        <w:gridCol w:w="2002"/>
        <w:gridCol w:w="2394"/>
        <w:gridCol w:w="2344"/>
        <w:gridCol w:w="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400" w:hRule="atLeast"/>
          <w:jc w:val="center"/>
        </w:trPr>
        <w:tc>
          <w:tcPr>
            <w:tcW w:w="3017" w:type="dxa"/>
            <w:gridSpan w:val="3"/>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项目名称</w:t>
            </w:r>
          </w:p>
        </w:tc>
        <w:tc>
          <w:tcPr>
            <w:tcW w:w="6764" w:type="dxa"/>
            <w:gridSpan w:val="5"/>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票据技术审核经费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wBefore w:w="0" w:type="dxa"/>
          <w:wAfter w:w="0" w:type="dxa"/>
          <w:trHeight w:val="400" w:hRule="atLeast"/>
          <w:jc w:val="center"/>
        </w:trPr>
        <w:tc>
          <w:tcPr>
            <w:tcW w:w="3017" w:type="dxa"/>
            <w:gridSpan w:val="3"/>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预算单位</w:t>
            </w:r>
          </w:p>
        </w:tc>
        <w:tc>
          <w:tcPr>
            <w:tcW w:w="6764" w:type="dxa"/>
            <w:gridSpan w:val="5"/>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遂宁市票据监管中心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Before w:w="0" w:type="dxa"/>
          <w:wAfter w:w="15" w:type="dxa"/>
          <w:trHeight w:val="516" w:hRule="atLeast"/>
          <w:jc w:val="center"/>
        </w:trPr>
        <w:tc>
          <w:tcPr>
            <w:tcW w:w="866" w:type="dxa"/>
            <w:vMerge w:val="restart"/>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预算执行情况</w:t>
            </w:r>
            <w:r>
              <w:rPr>
                <w:rFonts w:ascii="宋体" w:hAnsi="宋体" w:eastAsia="宋体" w:cs="宋体"/>
                <w:color w:val="000000"/>
                <w:kern w:val="0"/>
                <w:sz w:val="24"/>
                <w:lang w:bidi="ar"/>
              </w:rPr>
              <w:t>(</w:t>
            </w:r>
            <w:r>
              <w:rPr>
                <w:rFonts w:hint="eastAsia" w:ascii="宋体" w:hAnsi="宋体" w:eastAsia="宋体" w:cs="宋体"/>
                <w:color w:val="000000"/>
                <w:kern w:val="0"/>
                <w:sz w:val="24"/>
                <w:lang w:bidi="ar"/>
              </w:rPr>
              <w:t>万元</w:t>
            </w:r>
            <w:r>
              <w:rPr>
                <w:rFonts w:ascii="宋体" w:hAnsi="宋体" w:eastAsia="宋体" w:cs="宋体"/>
                <w:color w:val="000000"/>
                <w:kern w:val="0"/>
                <w:sz w:val="24"/>
                <w:lang w:bidi="ar"/>
              </w:rPr>
              <w:t>)</w:t>
            </w:r>
          </w:p>
        </w:tc>
        <w:tc>
          <w:tcPr>
            <w:tcW w:w="2160" w:type="dxa"/>
            <w:gridSpan w:val="3"/>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预算数</w:t>
            </w:r>
            <w:r>
              <w:rPr>
                <w:rFonts w:ascii="宋体" w:hAnsi="宋体" w:eastAsia="宋体" w:cs="宋体"/>
                <w:color w:val="000000"/>
                <w:kern w:val="0"/>
                <w:sz w:val="24"/>
                <w:lang w:bidi="ar"/>
              </w:rPr>
              <w:t>:</w:t>
            </w:r>
          </w:p>
        </w:tc>
        <w:tc>
          <w:tcPr>
            <w:tcW w:w="2002"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22万</w:t>
            </w:r>
          </w:p>
        </w:tc>
        <w:tc>
          <w:tcPr>
            <w:tcW w:w="2394"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执行数</w:t>
            </w:r>
            <w:r>
              <w:rPr>
                <w:rFonts w:ascii="宋体" w:hAnsi="宋体" w:eastAsia="宋体" w:cs="宋体"/>
                <w:color w:val="000000"/>
                <w:kern w:val="0"/>
                <w:sz w:val="24"/>
                <w:lang w:bidi="ar"/>
              </w:rPr>
              <w:t>:</w:t>
            </w:r>
          </w:p>
        </w:tc>
        <w:tc>
          <w:tcPr>
            <w:tcW w:w="2344"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22万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Before w:w="0" w:type="dxa"/>
          <w:wAfter w:w="15" w:type="dxa"/>
          <w:trHeight w:val="463" w:hRule="atLeast"/>
          <w:jc w:val="center"/>
        </w:trPr>
        <w:tc>
          <w:tcPr>
            <w:tcW w:w="866" w:type="dxa"/>
            <w:vMerge w:val="continue"/>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p>
        </w:tc>
        <w:tc>
          <w:tcPr>
            <w:tcW w:w="2160" w:type="dxa"/>
            <w:gridSpan w:val="3"/>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其中</w:t>
            </w:r>
            <w:r>
              <w:rPr>
                <w:rFonts w:ascii="宋体" w:hAnsi="宋体" w:eastAsia="宋体" w:cs="宋体"/>
                <w:color w:val="000000"/>
                <w:kern w:val="0"/>
                <w:sz w:val="24"/>
                <w:lang w:bidi="ar"/>
              </w:rPr>
              <w:t>-</w:t>
            </w:r>
            <w:r>
              <w:rPr>
                <w:rFonts w:hint="eastAsia" w:ascii="宋体" w:hAnsi="宋体" w:eastAsia="宋体" w:cs="宋体"/>
                <w:color w:val="000000"/>
                <w:kern w:val="0"/>
                <w:sz w:val="24"/>
                <w:lang w:bidi="ar"/>
              </w:rPr>
              <w:t>财政拨款</w:t>
            </w:r>
            <w:r>
              <w:rPr>
                <w:rFonts w:ascii="宋体" w:hAnsi="宋体" w:eastAsia="宋体" w:cs="宋体"/>
                <w:color w:val="000000"/>
                <w:kern w:val="0"/>
                <w:sz w:val="24"/>
                <w:lang w:bidi="ar"/>
              </w:rPr>
              <w:t>:</w:t>
            </w:r>
          </w:p>
        </w:tc>
        <w:tc>
          <w:tcPr>
            <w:tcW w:w="2002"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p>
        </w:tc>
        <w:tc>
          <w:tcPr>
            <w:tcW w:w="2394"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其中</w:t>
            </w:r>
            <w:r>
              <w:rPr>
                <w:rFonts w:ascii="宋体" w:hAnsi="宋体" w:eastAsia="宋体" w:cs="宋体"/>
                <w:color w:val="000000"/>
                <w:kern w:val="0"/>
                <w:sz w:val="24"/>
                <w:lang w:bidi="ar"/>
              </w:rPr>
              <w:t>-</w:t>
            </w:r>
            <w:r>
              <w:rPr>
                <w:rFonts w:hint="eastAsia" w:ascii="宋体" w:hAnsi="宋体" w:eastAsia="宋体" w:cs="宋体"/>
                <w:color w:val="000000"/>
                <w:kern w:val="0"/>
                <w:sz w:val="24"/>
                <w:lang w:bidi="ar"/>
              </w:rPr>
              <w:t>财政拨款</w:t>
            </w:r>
            <w:r>
              <w:rPr>
                <w:rFonts w:ascii="宋体" w:hAnsi="宋体" w:eastAsia="宋体" w:cs="宋体"/>
                <w:color w:val="000000"/>
                <w:kern w:val="0"/>
                <w:sz w:val="24"/>
                <w:lang w:bidi="ar"/>
              </w:rPr>
              <w:t>:</w:t>
            </w:r>
          </w:p>
        </w:tc>
        <w:tc>
          <w:tcPr>
            <w:tcW w:w="2344"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Before w:w="0" w:type="dxa"/>
          <w:wAfter w:w="15" w:type="dxa"/>
          <w:trHeight w:val="647" w:hRule="atLeast"/>
          <w:jc w:val="center"/>
        </w:trPr>
        <w:tc>
          <w:tcPr>
            <w:tcW w:w="866" w:type="dxa"/>
            <w:vMerge w:val="continue"/>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p>
        </w:tc>
        <w:tc>
          <w:tcPr>
            <w:tcW w:w="2160" w:type="dxa"/>
            <w:gridSpan w:val="3"/>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其它资金</w:t>
            </w:r>
            <w:r>
              <w:rPr>
                <w:rFonts w:ascii="宋体" w:hAnsi="宋体" w:eastAsia="宋体" w:cs="宋体"/>
                <w:color w:val="000000"/>
                <w:kern w:val="0"/>
                <w:sz w:val="24"/>
                <w:lang w:bidi="ar"/>
              </w:rPr>
              <w:t>:</w:t>
            </w:r>
          </w:p>
        </w:tc>
        <w:tc>
          <w:tcPr>
            <w:tcW w:w="2002" w:type="dxa"/>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无</w:t>
            </w:r>
          </w:p>
        </w:tc>
        <w:tc>
          <w:tcPr>
            <w:tcW w:w="2394"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其它资金</w:t>
            </w:r>
            <w:r>
              <w:rPr>
                <w:rFonts w:ascii="宋体" w:hAnsi="宋体" w:eastAsia="宋体" w:cs="宋体"/>
                <w:color w:val="000000"/>
                <w:kern w:val="0"/>
                <w:sz w:val="24"/>
                <w:lang w:bidi="ar"/>
              </w:rPr>
              <w:t>:</w:t>
            </w:r>
          </w:p>
        </w:tc>
        <w:tc>
          <w:tcPr>
            <w:tcW w:w="2344" w:type="dxa"/>
            <w:noWrap w:val="0"/>
            <w:tcMar>
              <w:top w:w="15" w:type="dxa"/>
              <w:left w:w="15" w:type="dxa"/>
              <w:right w:w="15" w:type="dxa"/>
            </w:tcMar>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Before w:w="0" w:type="dxa"/>
          <w:wAfter w:w="15" w:type="dxa"/>
          <w:trHeight w:val="538" w:hRule="atLeast"/>
          <w:jc w:val="center"/>
        </w:trPr>
        <w:tc>
          <w:tcPr>
            <w:tcW w:w="866" w:type="dxa"/>
            <w:vMerge w:val="restart"/>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年度目标完成情况</w:t>
            </w:r>
          </w:p>
        </w:tc>
        <w:tc>
          <w:tcPr>
            <w:tcW w:w="4162" w:type="dxa"/>
            <w:gridSpan w:val="4"/>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预期目标</w:t>
            </w:r>
          </w:p>
        </w:tc>
        <w:tc>
          <w:tcPr>
            <w:tcW w:w="4738" w:type="dxa"/>
            <w:gridSpan w:val="2"/>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实际完成目标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Before w:w="0" w:type="dxa"/>
          <w:wAfter w:w="15" w:type="dxa"/>
          <w:trHeight w:val="738" w:hRule="atLeast"/>
          <w:jc w:val="center"/>
        </w:trPr>
        <w:tc>
          <w:tcPr>
            <w:tcW w:w="866" w:type="dxa"/>
            <w:vMerge w:val="continue"/>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p>
        </w:tc>
        <w:tc>
          <w:tcPr>
            <w:tcW w:w="4162" w:type="dxa"/>
            <w:gridSpan w:val="4"/>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保障市本级所有用票单位财政票据正常使用、核销等工作运行。</w:t>
            </w:r>
          </w:p>
        </w:tc>
        <w:tc>
          <w:tcPr>
            <w:tcW w:w="4738" w:type="dxa"/>
            <w:gridSpan w:val="2"/>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Before w:w="0" w:type="dxa"/>
          <w:wAfter w:w="16" w:type="dxa"/>
          <w:trHeight w:val="600" w:hRule="atLeast"/>
          <w:jc w:val="center"/>
        </w:trPr>
        <w:tc>
          <w:tcPr>
            <w:tcW w:w="866" w:type="dxa"/>
            <w:vMerge w:val="restart"/>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绩效指标完成情况</w:t>
            </w:r>
          </w:p>
        </w:tc>
        <w:tc>
          <w:tcPr>
            <w:tcW w:w="1134"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一级指标</w:t>
            </w:r>
          </w:p>
        </w:tc>
        <w:tc>
          <w:tcPr>
            <w:tcW w:w="1025" w:type="dxa"/>
            <w:gridSpan w:val="2"/>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二级指标</w:t>
            </w:r>
          </w:p>
        </w:tc>
        <w:tc>
          <w:tcPr>
            <w:tcW w:w="2002"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三级指标</w:t>
            </w:r>
          </w:p>
        </w:tc>
        <w:tc>
          <w:tcPr>
            <w:tcW w:w="2394"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预期指标值</w:t>
            </w:r>
            <w:r>
              <w:rPr>
                <w:rFonts w:ascii="宋体" w:hAnsi="宋体" w:eastAsia="宋体" w:cs="宋体"/>
                <w:color w:val="000000"/>
                <w:kern w:val="0"/>
                <w:sz w:val="24"/>
                <w:lang w:bidi="ar"/>
              </w:rPr>
              <w:t>(</w:t>
            </w:r>
            <w:r>
              <w:rPr>
                <w:rFonts w:hint="eastAsia" w:ascii="宋体" w:hAnsi="宋体" w:eastAsia="宋体" w:cs="宋体"/>
                <w:color w:val="000000"/>
                <w:kern w:val="0"/>
                <w:sz w:val="24"/>
                <w:lang w:bidi="ar"/>
              </w:rPr>
              <w:t>包含数字及文字描述</w:t>
            </w:r>
            <w:r>
              <w:rPr>
                <w:rFonts w:ascii="宋体" w:hAnsi="宋体" w:eastAsia="宋体" w:cs="宋体"/>
                <w:color w:val="000000"/>
                <w:kern w:val="0"/>
                <w:sz w:val="24"/>
                <w:lang w:bidi="ar"/>
              </w:rPr>
              <w:t>)</w:t>
            </w:r>
          </w:p>
        </w:tc>
        <w:tc>
          <w:tcPr>
            <w:tcW w:w="2344"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实际完成指标值</w:t>
            </w:r>
            <w:r>
              <w:rPr>
                <w:rFonts w:ascii="宋体" w:hAnsi="宋体" w:eastAsia="宋体" w:cs="宋体"/>
                <w:color w:val="000000"/>
                <w:kern w:val="0"/>
                <w:sz w:val="24"/>
                <w:lang w:bidi="ar"/>
              </w:rPr>
              <w:t>(</w:t>
            </w:r>
            <w:r>
              <w:rPr>
                <w:rFonts w:hint="eastAsia" w:ascii="宋体" w:hAnsi="宋体" w:eastAsia="宋体" w:cs="宋体"/>
                <w:color w:val="000000"/>
                <w:kern w:val="0"/>
                <w:sz w:val="24"/>
                <w:lang w:bidi="ar"/>
              </w:rPr>
              <w:t>包含数字及文字描述</w:t>
            </w:r>
            <w:r>
              <w:rPr>
                <w:rFonts w:ascii="宋体" w:hAnsi="宋体" w:eastAsia="宋体" w:cs="宋体"/>
                <w:color w:val="000000"/>
                <w:kern w:val="0"/>
                <w:sz w:val="24"/>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Before w:w="0" w:type="dxa"/>
          <w:wAfter w:w="16" w:type="dxa"/>
          <w:trHeight w:val="854" w:hRule="atLeast"/>
          <w:jc w:val="center"/>
        </w:trPr>
        <w:tc>
          <w:tcPr>
            <w:tcW w:w="866" w:type="dxa"/>
            <w:vMerge w:val="continue"/>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p>
        </w:tc>
        <w:tc>
          <w:tcPr>
            <w:tcW w:w="1134"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项目完成指标</w:t>
            </w:r>
          </w:p>
        </w:tc>
        <w:tc>
          <w:tcPr>
            <w:tcW w:w="1025" w:type="dxa"/>
            <w:gridSpan w:val="2"/>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数量指标</w:t>
            </w:r>
          </w:p>
        </w:tc>
        <w:tc>
          <w:tcPr>
            <w:tcW w:w="2002"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财政票据发放数量</w:t>
            </w:r>
          </w:p>
        </w:tc>
        <w:tc>
          <w:tcPr>
            <w:tcW w:w="2394"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很具2020年实际情况发放票据约50万张。</w:t>
            </w:r>
          </w:p>
        </w:tc>
        <w:tc>
          <w:tcPr>
            <w:tcW w:w="2344"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全部完成预期目标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Before w:w="0" w:type="dxa"/>
          <w:wAfter w:w="16" w:type="dxa"/>
          <w:trHeight w:val="864" w:hRule="atLeast"/>
          <w:jc w:val="center"/>
        </w:trPr>
        <w:tc>
          <w:tcPr>
            <w:tcW w:w="866" w:type="dxa"/>
            <w:vMerge w:val="continue"/>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p>
        </w:tc>
        <w:tc>
          <w:tcPr>
            <w:tcW w:w="1134"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项目完成指标</w:t>
            </w:r>
          </w:p>
        </w:tc>
        <w:tc>
          <w:tcPr>
            <w:tcW w:w="1025" w:type="dxa"/>
            <w:gridSpan w:val="2"/>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质量指标</w:t>
            </w:r>
          </w:p>
        </w:tc>
        <w:tc>
          <w:tcPr>
            <w:tcW w:w="2002"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成本预算</w:t>
            </w:r>
          </w:p>
        </w:tc>
        <w:tc>
          <w:tcPr>
            <w:tcW w:w="2394"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预计成本费达到15万元。</w:t>
            </w:r>
          </w:p>
        </w:tc>
        <w:tc>
          <w:tcPr>
            <w:tcW w:w="2344"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完成绩效。成本费增加。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Before w:w="0" w:type="dxa"/>
          <w:wAfter w:w="16" w:type="dxa"/>
          <w:trHeight w:val="846" w:hRule="atLeast"/>
          <w:jc w:val="center"/>
        </w:trPr>
        <w:tc>
          <w:tcPr>
            <w:tcW w:w="866" w:type="dxa"/>
            <w:vMerge w:val="continue"/>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p>
        </w:tc>
        <w:tc>
          <w:tcPr>
            <w:tcW w:w="1134"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项目完成指标</w:t>
            </w:r>
          </w:p>
        </w:tc>
        <w:tc>
          <w:tcPr>
            <w:tcW w:w="1025" w:type="dxa"/>
            <w:gridSpan w:val="2"/>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时效指标</w:t>
            </w:r>
          </w:p>
        </w:tc>
        <w:tc>
          <w:tcPr>
            <w:tcW w:w="2002"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票据申领及核销</w:t>
            </w:r>
          </w:p>
        </w:tc>
        <w:tc>
          <w:tcPr>
            <w:tcW w:w="2394"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及时对单位的申领、核销需求进行处理。</w:t>
            </w:r>
          </w:p>
        </w:tc>
        <w:tc>
          <w:tcPr>
            <w:tcW w:w="2344"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Before w:w="0" w:type="dxa"/>
          <w:wAfter w:w="16" w:type="dxa"/>
          <w:trHeight w:val="1042" w:hRule="atLeast"/>
          <w:jc w:val="center"/>
        </w:trPr>
        <w:tc>
          <w:tcPr>
            <w:tcW w:w="866" w:type="dxa"/>
            <w:vMerge w:val="continue"/>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p>
        </w:tc>
        <w:tc>
          <w:tcPr>
            <w:tcW w:w="1134"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项目完成指标</w:t>
            </w:r>
          </w:p>
        </w:tc>
        <w:tc>
          <w:tcPr>
            <w:tcW w:w="1025" w:type="dxa"/>
            <w:gridSpan w:val="2"/>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成本指标</w:t>
            </w:r>
          </w:p>
        </w:tc>
        <w:tc>
          <w:tcPr>
            <w:tcW w:w="2002"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财政票据使用率</w:t>
            </w:r>
          </w:p>
        </w:tc>
        <w:tc>
          <w:tcPr>
            <w:tcW w:w="2394"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单位财政票票据使用进一步规范，使用率达到100%。</w:t>
            </w:r>
          </w:p>
        </w:tc>
        <w:tc>
          <w:tcPr>
            <w:tcW w:w="2344"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Before w:w="0" w:type="dxa"/>
          <w:wAfter w:w="16" w:type="dxa"/>
          <w:trHeight w:val="1211" w:hRule="atLeast"/>
          <w:jc w:val="center"/>
        </w:trPr>
        <w:tc>
          <w:tcPr>
            <w:tcW w:w="866" w:type="dxa"/>
            <w:vMerge w:val="continue"/>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p>
        </w:tc>
        <w:tc>
          <w:tcPr>
            <w:tcW w:w="1134"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效益指标</w:t>
            </w:r>
          </w:p>
        </w:tc>
        <w:tc>
          <w:tcPr>
            <w:tcW w:w="1025" w:type="dxa"/>
            <w:gridSpan w:val="2"/>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经济效益</w:t>
            </w:r>
          </w:p>
        </w:tc>
        <w:tc>
          <w:tcPr>
            <w:tcW w:w="2002"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财政票据促收</w:t>
            </w:r>
          </w:p>
        </w:tc>
        <w:tc>
          <w:tcPr>
            <w:tcW w:w="2394"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维护财政秩序，规范政府非税收入征收行为，促进收入及时缴库，缴库率达100%</w:t>
            </w:r>
          </w:p>
        </w:tc>
        <w:tc>
          <w:tcPr>
            <w:tcW w:w="2344"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Before w:w="0" w:type="dxa"/>
          <w:wAfter w:w="16" w:type="dxa"/>
          <w:trHeight w:val="1042" w:hRule="atLeast"/>
          <w:jc w:val="center"/>
        </w:trPr>
        <w:tc>
          <w:tcPr>
            <w:tcW w:w="866" w:type="dxa"/>
            <w:vMerge w:val="continue"/>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p>
        </w:tc>
        <w:tc>
          <w:tcPr>
            <w:tcW w:w="1134"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效益指标</w:t>
            </w:r>
          </w:p>
        </w:tc>
        <w:tc>
          <w:tcPr>
            <w:tcW w:w="1025" w:type="dxa"/>
            <w:gridSpan w:val="2"/>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社会效益</w:t>
            </w:r>
          </w:p>
        </w:tc>
        <w:tc>
          <w:tcPr>
            <w:tcW w:w="2002"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票据申领、核销</w:t>
            </w:r>
          </w:p>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工作</w:t>
            </w:r>
          </w:p>
        </w:tc>
        <w:tc>
          <w:tcPr>
            <w:tcW w:w="2394"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保障市本级所有用票单位财政票据使用，核销等红做正常运行，</w:t>
            </w:r>
          </w:p>
        </w:tc>
        <w:tc>
          <w:tcPr>
            <w:tcW w:w="2344"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全部完成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Before w:w="0" w:type="dxa"/>
          <w:wAfter w:w="16" w:type="dxa"/>
          <w:trHeight w:val="929" w:hRule="atLeast"/>
          <w:jc w:val="center"/>
        </w:trPr>
        <w:tc>
          <w:tcPr>
            <w:tcW w:w="866" w:type="dxa"/>
            <w:vMerge w:val="continue"/>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p>
        </w:tc>
        <w:tc>
          <w:tcPr>
            <w:tcW w:w="1134"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满意度</w:t>
            </w:r>
          </w:p>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指标</w:t>
            </w:r>
          </w:p>
        </w:tc>
        <w:tc>
          <w:tcPr>
            <w:tcW w:w="1025" w:type="dxa"/>
            <w:gridSpan w:val="2"/>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满意度指标</w:t>
            </w:r>
          </w:p>
        </w:tc>
        <w:tc>
          <w:tcPr>
            <w:tcW w:w="2002"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各税收单位满意度</w:t>
            </w:r>
          </w:p>
        </w:tc>
        <w:tc>
          <w:tcPr>
            <w:tcW w:w="2394"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非税收入执收单位满意度达100%。</w:t>
            </w:r>
          </w:p>
        </w:tc>
        <w:tc>
          <w:tcPr>
            <w:tcW w:w="2344" w:type="dxa"/>
            <w:noWrap w:val="0"/>
            <w:tcMar>
              <w:top w:w="15" w:type="dxa"/>
              <w:left w:w="15" w:type="dxa"/>
              <w:right w:w="15" w:type="dxa"/>
            </w:tcMar>
            <w:vAlign w:val="center"/>
          </w:tcPr>
          <w:p>
            <w:pPr>
              <w:widowControl/>
              <w:spacing w:line="240" w:lineRule="exact"/>
              <w:jc w:val="center"/>
              <w:textAlignment w:val="center"/>
              <w:rPr>
                <w:rFonts w:ascii="宋体" w:hAnsi="宋体" w:eastAsia="宋体" w:cs="宋体"/>
                <w:color w:val="000000"/>
                <w:kern w:val="0"/>
                <w:sz w:val="24"/>
                <w:lang w:bidi="ar"/>
              </w:rPr>
            </w:pPr>
            <w:r>
              <w:rPr>
                <w:rFonts w:hint="eastAsia" w:ascii="宋体" w:hAnsi="宋体" w:eastAsia="宋体" w:cs="宋体"/>
                <w:color w:val="000000"/>
                <w:kern w:val="0"/>
                <w:sz w:val="24"/>
                <w:lang w:bidi="ar"/>
              </w:rPr>
              <w:t>满意度100%全部完成</w:t>
            </w:r>
          </w:p>
        </w:tc>
      </w:tr>
    </w:tbl>
    <w:p>
      <w:pPr>
        <w:widowControl/>
        <w:spacing w:line="240" w:lineRule="exact"/>
        <w:jc w:val="center"/>
        <w:textAlignment w:val="center"/>
        <w:rPr>
          <w:rFonts w:ascii="宋体" w:hAnsi="宋体" w:eastAsia="宋体" w:cs="宋体"/>
          <w:color w:val="000000"/>
          <w:kern w:val="0"/>
          <w:sz w:val="24"/>
          <w:lang w:bidi="ar"/>
        </w:rPr>
      </w:pPr>
    </w:p>
    <w:p>
      <w:pPr>
        <w:overflowPunct w:val="0"/>
        <w:topLinePunct/>
        <w:spacing w:line="620" w:lineRule="exact"/>
        <w:rPr>
          <w:b/>
        </w:rPr>
      </w:pPr>
    </w:p>
    <w:p>
      <w:pPr>
        <w:overflowPunct w:val="0"/>
        <w:topLinePunct/>
        <w:spacing w:line="620" w:lineRule="exact"/>
        <w:ind w:firstLine="646" w:firstLineChars="200"/>
        <w:rPr>
          <w:rFonts w:hint="eastAsia"/>
          <w:b/>
        </w:rPr>
      </w:pPr>
      <w:r>
        <w:rPr>
          <w:rFonts w:hint="eastAsia"/>
          <w:b/>
        </w:rPr>
        <w:t>2.</w:t>
      </w:r>
      <w:r>
        <w:rPr>
          <w:b/>
        </w:rPr>
        <w:t xml:space="preserve"> </w:t>
      </w:r>
      <w:r>
        <w:rPr>
          <w:rFonts w:hint="eastAsia"/>
          <w:b/>
        </w:rPr>
        <w:t>部门绩效评价结果。</w:t>
      </w:r>
    </w:p>
    <w:p>
      <w:pPr>
        <w:overflowPunct w:val="0"/>
        <w:topLinePunct/>
        <w:spacing w:line="620" w:lineRule="exact"/>
        <w:ind w:firstLine="646" w:firstLineChars="200"/>
        <w:rPr>
          <w:rFonts w:hint="eastAsia"/>
        </w:rPr>
      </w:pPr>
      <w:r>
        <w:rPr>
          <w:rFonts w:hint="eastAsia"/>
        </w:rPr>
        <w:t>本部门按要求对2020年部门整体支出绩效评价情况开展自评，《我中心部门2020年部门整体支出绩效评价报告》见附件（附件1）。</w:t>
      </w:r>
    </w:p>
    <w:p>
      <w:pPr>
        <w:overflowPunct w:val="0"/>
        <w:topLinePunct/>
        <w:spacing w:line="620" w:lineRule="exact"/>
        <w:ind w:firstLine="646" w:firstLineChars="200"/>
        <w:rPr>
          <w:rFonts w:hint="eastAsia"/>
        </w:rPr>
      </w:pPr>
      <w:r>
        <w:rPr>
          <w:rFonts w:hint="eastAsia"/>
        </w:rPr>
        <w:t>本部门自行组织对工本费项目、票据技术审核经费项目开展了绩效评价，《项目2020年绩效评价报告》见附件（附件2）。（非涉密部门均需公开部门整体支出评价报告，部门自行组织的绩效评价情况根据部门实际公开，若未组织项目绩效评价，则只需说明部门整体支出绩效评价情况）</w:t>
      </w:r>
    </w:p>
    <w:p>
      <w:pPr>
        <w:overflowPunct w:val="0"/>
        <w:topLinePunct/>
        <w:spacing w:line="620" w:lineRule="exact"/>
        <w:ind w:firstLine="646" w:firstLineChars="200"/>
      </w:pPr>
    </w:p>
    <w:p>
      <w:pPr>
        <w:overflowPunct w:val="0"/>
        <w:topLinePunct/>
        <w:spacing w:line="620" w:lineRule="exact"/>
        <w:ind w:firstLine="646" w:firstLineChars="200"/>
      </w:pPr>
      <w:r>
        <w:br w:type="page"/>
      </w:r>
    </w:p>
    <w:p>
      <w:pPr>
        <w:pStyle w:val="2"/>
        <w:overflowPunct w:val="0"/>
        <w:spacing w:before="0" w:after="0" w:line="620" w:lineRule="exact"/>
        <w:jc w:val="center"/>
        <w:rPr>
          <w:rFonts w:hint="eastAsia" w:ascii="方正小标宋简体" w:hAnsi="仿宋" w:eastAsia="方正小标宋简体" w:cs="仿宋"/>
          <w:b w:val="0"/>
          <w:sz w:val="32"/>
          <w:szCs w:val="32"/>
        </w:rPr>
      </w:pPr>
      <w:bookmarkStart w:id="42" w:name="_Toc80282383"/>
      <w:r>
        <w:rPr>
          <w:rFonts w:hint="eastAsia" w:ascii="方正小标宋简体" w:hAnsi="仿宋" w:eastAsia="方正小标宋简体" w:cs="仿宋"/>
          <w:b w:val="0"/>
          <w:sz w:val="32"/>
          <w:szCs w:val="32"/>
        </w:rPr>
        <w:t>第三部分 名词解释</w:t>
      </w:r>
      <w:bookmarkEnd w:id="42"/>
    </w:p>
    <w:p>
      <w:pPr>
        <w:overflowPunct w:val="0"/>
        <w:topLinePunct/>
        <w:spacing w:line="620" w:lineRule="exact"/>
        <w:ind w:firstLine="646" w:firstLineChars="200"/>
      </w:pPr>
    </w:p>
    <w:p>
      <w:pPr>
        <w:overflowPunct w:val="0"/>
        <w:topLinePunct/>
        <w:spacing w:line="620" w:lineRule="exact"/>
        <w:ind w:firstLine="646" w:firstLineChars="200"/>
        <w:rPr>
          <w:rFonts w:hint="eastAsia"/>
        </w:rPr>
      </w:pPr>
      <w:r>
        <w:rPr>
          <w:rFonts w:hint="eastAsia"/>
        </w:rPr>
        <w:t>1.</w:t>
      </w:r>
      <w:r>
        <w:t xml:space="preserve"> </w:t>
      </w:r>
      <w:r>
        <w:rPr>
          <w:rFonts w:hint="eastAsia"/>
        </w:rPr>
        <w:t>财政拨款收入：指单位从同级财政部门取得的财政预算资金。</w:t>
      </w:r>
    </w:p>
    <w:p>
      <w:pPr>
        <w:overflowPunct w:val="0"/>
        <w:topLinePunct/>
        <w:spacing w:line="620" w:lineRule="exact"/>
        <w:ind w:firstLine="646" w:firstLineChars="200"/>
        <w:rPr>
          <w:rFonts w:hint="eastAsia"/>
        </w:rPr>
      </w:pPr>
      <w:r>
        <w:rPr>
          <w:rFonts w:hint="eastAsia"/>
        </w:rPr>
        <w:t>2.</w:t>
      </w:r>
      <w:r>
        <w:t xml:space="preserve"> </w:t>
      </w:r>
      <w:r>
        <w:rPr>
          <w:rFonts w:hint="eastAsia"/>
        </w:rPr>
        <w:t xml:space="preserve">其他收入：指单位取得的除上述收入以外的各项收入。主要是省注册会计师事务所转入党建补助经费、存量资金等。 </w:t>
      </w:r>
    </w:p>
    <w:p>
      <w:pPr>
        <w:overflowPunct w:val="0"/>
        <w:topLinePunct/>
        <w:spacing w:line="620" w:lineRule="exact"/>
        <w:ind w:firstLine="646" w:firstLineChars="200"/>
        <w:rPr>
          <w:rFonts w:hint="eastAsia"/>
        </w:rPr>
      </w:pPr>
      <w:r>
        <w:rPr>
          <w:rFonts w:hint="eastAsia"/>
        </w:rPr>
        <w:t>3.</w:t>
      </w:r>
      <w:r>
        <w:t xml:space="preserve"> </w:t>
      </w:r>
      <w:r>
        <w:rPr>
          <w:rFonts w:hint="eastAsia"/>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overflowPunct w:val="0"/>
        <w:topLinePunct/>
        <w:spacing w:line="620" w:lineRule="exact"/>
        <w:ind w:firstLine="646" w:firstLineChars="200"/>
        <w:rPr>
          <w:rFonts w:hint="eastAsia"/>
        </w:rPr>
      </w:pPr>
      <w:r>
        <w:rPr>
          <w:rFonts w:hint="eastAsia"/>
        </w:rPr>
        <w:t>4.</w:t>
      </w:r>
      <w:r>
        <w:t xml:space="preserve"> </w:t>
      </w:r>
      <w:r>
        <w:rPr>
          <w:rFonts w:hint="eastAsia"/>
        </w:rPr>
        <w:t>年初结转和结余：指以前年度尚未完成、结转到本年按有关规定继续使用的资金。</w:t>
      </w:r>
    </w:p>
    <w:p>
      <w:pPr>
        <w:overflowPunct w:val="0"/>
        <w:topLinePunct/>
        <w:spacing w:line="620" w:lineRule="exact"/>
        <w:ind w:firstLine="646" w:firstLineChars="200"/>
        <w:rPr>
          <w:rFonts w:hint="eastAsia"/>
        </w:rPr>
      </w:pPr>
      <w:r>
        <w:rPr>
          <w:rFonts w:hint="eastAsia"/>
        </w:rPr>
        <w:t>5.</w:t>
      </w:r>
      <w:r>
        <w:t xml:space="preserve"> </w:t>
      </w:r>
      <w:r>
        <w:rPr>
          <w:rFonts w:hint="eastAsia"/>
        </w:rPr>
        <w:t>结余分配：指事业单位按照事业单位会计制度的规定从非财政补助结余中分配的事业基金和职工福利基金等。</w:t>
      </w:r>
    </w:p>
    <w:p>
      <w:pPr>
        <w:overflowPunct w:val="0"/>
        <w:topLinePunct/>
        <w:spacing w:line="620" w:lineRule="exact"/>
        <w:ind w:firstLine="646" w:firstLineChars="200"/>
        <w:rPr>
          <w:rFonts w:hint="eastAsia"/>
        </w:rPr>
      </w:pPr>
      <w:r>
        <w:rPr>
          <w:rFonts w:hint="eastAsia"/>
        </w:rPr>
        <w:t>6.</w:t>
      </w:r>
      <w:r>
        <w:t xml:space="preserve"> </w:t>
      </w:r>
      <w:r>
        <w:rPr>
          <w:rFonts w:hint="eastAsia"/>
        </w:rPr>
        <w:t>年末结转和结余：指单位按有关规定结转到下年或以后年度继续使用的资金。</w:t>
      </w:r>
    </w:p>
    <w:p>
      <w:pPr>
        <w:overflowPunct w:val="0"/>
        <w:topLinePunct/>
        <w:spacing w:line="620" w:lineRule="exact"/>
        <w:ind w:firstLine="646" w:firstLineChars="200"/>
        <w:rPr>
          <w:rFonts w:hint="eastAsia"/>
        </w:rPr>
      </w:pPr>
      <w:r>
        <w:rPr>
          <w:rFonts w:hint="eastAsia"/>
        </w:rPr>
        <w:t>7.</w:t>
      </w:r>
      <w:r>
        <w:t xml:space="preserve"> </w:t>
      </w:r>
      <w:r>
        <w:rPr>
          <w:rFonts w:hint="eastAsia"/>
        </w:rPr>
        <w:t>一般公共服务（类）财政事务（款）行政运行（项）:指财政事务方面的基本支出。</w:t>
      </w:r>
    </w:p>
    <w:p>
      <w:pPr>
        <w:overflowPunct w:val="0"/>
        <w:topLinePunct/>
        <w:spacing w:line="620" w:lineRule="exact"/>
        <w:ind w:firstLine="646" w:firstLineChars="200"/>
        <w:rPr>
          <w:rFonts w:hint="eastAsia"/>
        </w:rPr>
      </w:pPr>
      <w:r>
        <w:rPr>
          <w:rFonts w:hint="eastAsia"/>
        </w:rPr>
        <w:t>8.</w:t>
      </w:r>
      <w:r>
        <w:t xml:space="preserve"> </w:t>
      </w:r>
      <w:r>
        <w:rPr>
          <w:rFonts w:hint="eastAsia"/>
        </w:rPr>
        <w:t>一般公共服务（类）财政事务（款）一般行政管理事务（项）: 指财政事务方面未单独设置项级科目的其他项目支出。</w:t>
      </w:r>
    </w:p>
    <w:p>
      <w:pPr>
        <w:overflowPunct w:val="0"/>
        <w:topLinePunct/>
        <w:spacing w:line="620" w:lineRule="exact"/>
        <w:ind w:firstLine="646" w:firstLineChars="200"/>
        <w:rPr>
          <w:rFonts w:hint="eastAsia"/>
        </w:rPr>
      </w:pPr>
      <w:r>
        <w:rPr>
          <w:rFonts w:hint="eastAsia"/>
        </w:rPr>
        <w:t>9.</w:t>
      </w:r>
      <w:r>
        <w:t xml:space="preserve"> </w:t>
      </w:r>
      <w:r>
        <w:rPr>
          <w:rFonts w:hint="eastAsia"/>
        </w:rPr>
        <w:t>一般公共服务（类）财政事务（款）财政国库业务（项）:指财政部门用于财政国库集中收付业务方面的支出。</w:t>
      </w:r>
    </w:p>
    <w:p>
      <w:pPr>
        <w:overflowPunct w:val="0"/>
        <w:topLinePunct/>
        <w:spacing w:line="620" w:lineRule="exact"/>
        <w:ind w:firstLine="646" w:firstLineChars="200"/>
        <w:rPr>
          <w:rFonts w:hint="eastAsia"/>
        </w:rPr>
      </w:pPr>
      <w:r>
        <w:rPr>
          <w:rFonts w:hint="eastAsia"/>
        </w:rPr>
        <w:t>10.</w:t>
      </w:r>
      <w:r>
        <w:t xml:space="preserve"> </w:t>
      </w:r>
      <w:r>
        <w:rPr>
          <w:rFonts w:hint="eastAsia"/>
        </w:rPr>
        <w:t>一般公共服务（类）财政事务（款）财政监察（项）: 指财政监察专项业务支出。</w:t>
      </w:r>
    </w:p>
    <w:p>
      <w:pPr>
        <w:overflowPunct w:val="0"/>
        <w:topLinePunct/>
        <w:spacing w:line="620" w:lineRule="exact"/>
        <w:ind w:firstLine="646" w:firstLineChars="200"/>
        <w:rPr>
          <w:rFonts w:hint="eastAsia"/>
        </w:rPr>
      </w:pPr>
      <w:r>
        <w:rPr>
          <w:rFonts w:hint="eastAsia"/>
        </w:rPr>
        <w:t>11.</w:t>
      </w:r>
      <w:r>
        <w:t xml:space="preserve"> </w:t>
      </w:r>
      <w:r>
        <w:rPr>
          <w:rFonts w:hint="eastAsia"/>
        </w:rPr>
        <w:t>一般公共服务（类）财政事务（款）信息化建设（项）: 指财政部门用于“金财工程”等信息化建设方面的支出。</w:t>
      </w:r>
    </w:p>
    <w:p>
      <w:pPr>
        <w:overflowPunct w:val="0"/>
        <w:topLinePunct/>
        <w:spacing w:line="620" w:lineRule="exact"/>
        <w:ind w:firstLine="646" w:firstLineChars="200"/>
        <w:rPr>
          <w:rFonts w:hint="eastAsia"/>
        </w:rPr>
      </w:pPr>
      <w:r>
        <w:rPr>
          <w:rFonts w:hint="eastAsia"/>
        </w:rPr>
        <w:t>12.</w:t>
      </w:r>
      <w:r>
        <w:t xml:space="preserve"> </w:t>
      </w:r>
      <w:r>
        <w:rPr>
          <w:rFonts w:hint="eastAsia"/>
        </w:rPr>
        <w:t xml:space="preserve">一般公共服务（类）财政事务（款）财政委托业务支出（项）: 指财政委托评审机构进行财政投资评审和委托建设银行等机构代理业务发生的支出。 </w:t>
      </w:r>
    </w:p>
    <w:p>
      <w:pPr>
        <w:overflowPunct w:val="0"/>
        <w:topLinePunct/>
        <w:spacing w:line="620" w:lineRule="exact"/>
        <w:ind w:firstLine="646" w:firstLineChars="200"/>
        <w:rPr>
          <w:rFonts w:hint="eastAsia"/>
        </w:rPr>
      </w:pPr>
      <w:r>
        <w:rPr>
          <w:rFonts w:hint="eastAsia"/>
        </w:rPr>
        <w:t>13.</w:t>
      </w:r>
      <w:r>
        <w:t xml:space="preserve"> </w:t>
      </w:r>
      <w:r>
        <w:rPr>
          <w:rFonts w:hint="eastAsia"/>
        </w:rPr>
        <w:t>一般公共服务（类）财政事务（款）事业运行（项）:指财政事务方面事业单位的基本支出。</w:t>
      </w:r>
    </w:p>
    <w:p>
      <w:pPr>
        <w:overflowPunct w:val="0"/>
        <w:topLinePunct/>
        <w:spacing w:line="620" w:lineRule="exact"/>
        <w:ind w:firstLine="646" w:firstLineChars="200"/>
        <w:rPr>
          <w:rFonts w:hint="eastAsia"/>
        </w:rPr>
      </w:pPr>
      <w:r>
        <w:rPr>
          <w:rFonts w:hint="eastAsia"/>
        </w:rPr>
        <w:t>14.</w:t>
      </w:r>
      <w:r>
        <w:t xml:space="preserve"> </w:t>
      </w:r>
      <w:r>
        <w:rPr>
          <w:rFonts w:hint="eastAsia"/>
        </w:rPr>
        <w:t>一般公共服务（类）财政事务（款）其他财政事务支出（项）: 指财政事务方面其他财政事务支出。</w:t>
      </w:r>
    </w:p>
    <w:p>
      <w:pPr>
        <w:overflowPunct w:val="0"/>
        <w:topLinePunct/>
        <w:spacing w:line="620" w:lineRule="exact"/>
        <w:ind w:firstLine="646" w:firstLineChars="200"/>
        <w:rPr>
          <w:rFonts w:hint="eastAsia"/>
        </w:rPr>
      </w:pPr>
      <w:r>
        <w:rPr>
          <w:rFonts w:hint="eastAsia"/>
        </w:rPr>
        <w:t>15.</w:t>
      </w:r>
      <w:r>
        <w:t xml:space="preserve"> </w:t>
      </w:r>
      <w:r>
        <w:rPr>
          <w:rFonts w:hint="eastAsia"/>
        </w:rPr>
        <w:t>社会保障和就业支出（类）行政事业单位离退休（款）未归口管理的行政单位离退休（项）: 指实行未归口管理的行政单位开支的离退休支出。</w:t>
      </w:r>
    </w:p>
    <w:p>
      <w:pPr>
        <w:overflowPunct w:val="0"/>
        <w:topLinePunct/>
        <w:spacing w:line="620" w:lineRule="exact"/>
        <w:ind w:firstLine="646" w:firstLineChars="200"/>
        <w:rPr>
          <w:rFonts w:hint="eastAsia"/>
        </w:rPr>
      </w:pPr>
      <w:r>
        <w:rPr>
          <w:rFonts w:hint="eastAsia"/>
        </w:rPr>
        <w:t>16. 社会保障和就业支出（类）行政事业单位离退休（款）机关事业单位基本养老保险缴费支出（项）: 指机关事业单位实施养老保险制度由单位缴纳的基本养老保险费支出。</w:t>
      </w:r>
    </w:p>
    <w:p>
      <w:pPr>
        <w:overflowPunct w:val="0"/>
        <w:topLinePunct/>
        <w:spacing w:line="620" w:lineRule="exact"/>
        <w:ind w:firstLine="646" w:firstLineChars="200"/>
        <w:rPr>
          <w:rFonts w:hint="eastAsia"/>
        </w:rPr>
      </w:pPr>
      <w:r>
        <w:rPr>
          <w:rFonts w:hint="eastAsia"/>
        </w:rPr>
        <w:t>17.</w:t>
      </w:r>
      <w:r>
        <w:t xml:space="preserve"> </w:t>
      </w:r>
      <w:r>
        <w:rPr>
          <w:rFonts w:hint="eastAsia"/>
        </w:rPr>
        <w:t>社会保障和就业支出（类）行政事业单位离退休（款）其他行政事业单位离退休支出（项）: 指其他用于行政事业单位离退休方面的支出。</w:t>
      </w:r>
    </w:p>
    <w:p>
      <w:pPr>
        <w:overflowPunct w:val="0"/>
        <w:topLinePunct/>
        <w:spacing w:line="620" w:lineRule="exact"/>
        <w:ind w:firstLine="646" w:firstLineChars="200"/>
        <w:rPr>
          <w:rFonts w:hint="eastAsia"/>
        </w:rPr>
      </w:pPr>
      <w:r>
        <w:rPr>
          <w:rFonts w:hint="eastAsia"/>
        </w:rPr>
        <w:t>18.</w:t>
      </w:r>
      <w:r>
        <w:t xml:space="preserve"> </w:t>
      </w:r>
      <w:r>
        <w:rPr>
          <w:rFonts w:hint="eastAsia"/>
        </w:rPr>
        <w:t>社会保障和就业支出（类）抚恤（款）死亡抚恤（项）:指单位用于牺牲、病故人员家属的一次性和定期抚恤金以及丧葬补助费。</w:t>
      </w:r>
    </w:p>
    <w:p>
      <w:pPr>
        <w:overflowPunct w:val="0"/>
        <w:topLinePunct/>
        <w:spacing w:line="620" w:lineRule="exact"/>
        <w:ind w:firstLine="646" w:firstLineChars="200"/>
        <w:rPr>
          <w:rFonts w:hint="eastAsia"/>
        </w:rPr>
      </w:pPr>
      <w:r>
        <w:rPr>
          <w:rFonts w:hint="eastAsia"/>
        </w:rPr>
        <w:t>19. 医疗卫生与计划生育支出（类）行政事业单位医疗（款）行政单位医疗（项）:指行政单位基本医疗保险缴费支出。</w:t>
      </w:r>
    </w:p>
    <w:p>
      <w:pPr>
        <w:overflowPunct w:val="0"/>
        <w:topLinePunct/>
        <w:spacing w:line="620" w:lineRule="exact"/>
        <w:ind w:firstLine="646" w:firstLineChars="200"/>
        <w:rPr>
          <w:rFonts w:hint="eastAsia"/>
        </w:rPr>
      </w:pPr>
      <w:r>
        <w:rPr>
          <w:rFonts w:hint="eastAsia"/>
        </w:rPr>
        <w:t>20.</w:t>
      </w:r>
      <w:r>
        <w:t xml:space="preserve"> </w:t>
      </w:r>
      <w:r>
        <w:rPr>
          <w:rFonts w:hint="eastAsia"/>
        </w:rPr>
        <w:t>医疗卫生与计划生育支出（类）行政事业单位医疗（款）事业单位医疗（项）:指事业单位基本医疗保险缴费支出。</w:t>
      </w:r>
    </w:p>
    <w:p>
      <w:pPr>
        <w:overflowPunct w:val="0"/>
        <w:topLinePunct/>
        <w:spacing w:line="620" w:lineRule="exact"/>
        <w:ind w:firstLine="646" w:firstLineChars="200"/>
        <w:rPr>
          <w:rFonts w:hint="eastAsia"/>
        </w:rPr>
      </w:pPr>
      <w:r>
        <w:rPr>
          <w:rFonts w:hint="eastAsia"/>
        </w:rPr>
        <w:t>21.</w:t>
      </w:r>
      <w:r>
        <w:t xml:space="preserve"> </w:t>
      </w:r>
      <w:r>
        <w:rPr>
          <w:rFonts w:hint="eastAsia"/>
        </w:rPr>
        <w:t>住房保障支出（类）住房改革支出（款）住房公积金（项）:指单位按人力资源和社会保障部、财政部规定比例为职工缴纳的住房公积金。</w:t>
      </w:r>
    </w:p>
    <w:p>
      <w:pPr>
        <w:overflowPunct w:val="0"/>
        <w:topLinePunct/>
        <w:spacing w:line="620" w:lineRule="exact"/>
        <w:ind w:firstLine="646" w:firstLineChars="200"/>
        <w:rPr>
          <w:rFonts w:hint="eastAsia"/>
          <w:b/>
        </w:rPr>
      </w:pPr>
      <w:r>
        <w:rPr>
          <w:rFonts w:hint="eastAsia"/>
          <w:b/>
        </w:rPr>
        <w:t>（解释本部门决算报表中全部功能分类科目至项级，请参照《2019年政府收支分类科目》增减内容。）</w:t>
      </w:r>
    </w:p>
    <w:p>
      <w:pPr>
        <w:overflowPunct w:val="0"/>
        <w:topLinePunct/>
        <w:spacing w:line="620" w:lineRule="exact"/>
        <w:ind w:firstLine="646" w:firstLineChars="200"/>
        <w:rPr>
          <w:rFonts w:hint="eastAsia"/>
        </w:rPr>
      </w:pPr>
      <w:r>
        <w:rPr>
          <w:rFonts w:hint="eastAsia"/>
        </w:rPr>
        <w:t>22.</w:t>
      </w:r>
      <w:r>
        <w:t xml:space="preserve"> </w:t>
      </w:r>
      <w:r>
        <w:rPr>
          <w:rFonts w:hint="eastAsia"/>
        </w:rPr>
        <w:t>基本支出：指为保障机构正常运转、完成日常工作任务而发生的人员支出和公用支出。</w:t>
      </w:r>
    </w:p>
    <w:p>
      <w:pPr>
        <w:overflowPunct w:val="0"/>
        <w:topLinePunct/>
        <w:spacing w:line="620" w:lineRule="exact"/>
        <w:ind w:firstLine="646" w:firstLineChars="200"/>
        <w:rPr>
          <w:rFonts w:hint="eastAsia"/>
        </w:rPr>
      </w:pPr>
      <w:r>
        <w:rPr>
          <w:rFonts w:hint="eastAsia"/>
        </w:rPr>
        <w:t>23.</w:t>
      </w:r>
      <w:r>
        <w:t xml:space="preserve"> </w:t>
      </w:r>
      <w:r>
        <w:rPr>
          <w:rFonts w:hint="eastAsia"/>
        </w:rPr>
        <w:t xml:space="preserve">项目支出：指在基本支出之外为完成特定行政任务和事业发展目标所发生的支出。 </w:t>
      </w:r>
    </w:p>
    <w:p>
      <w:pPr>
        <w:overflowPunct w:val="0"/>
        <w:topLinePunct/>
        <w:spacing w:line="620" w:lineRule="exact"/>
        <w:ind w:firstLine="646" w:firstLineChars="200"/>
        <w:rPr>
          <w:rFonts w:hint="eastAsia"/>
        </w:rPr>
      </w:pPr>
      <w:r>
        <w:rPr>
          <w:rFonts w:hint="eastAsia"/>
        </w:rPr>
        <w:t>24.</w:t>
      </w:r>
      <w:r>
        <w:t xml:space="preserve"> </w:t>
      </w:r>
      <w:r>
        <w:rPr>
          <w:rFonts w:hint="eastAsia"/>
        </w:rPr>
        <w:t>经营支出：指事业单位在专业业务活动及其辅助活动之外开展非独立核算经营活动发生的支出。</w:t>
      </w:r>
    </w:p>
    <w:p>
      <w:pPr>
        <w:overflowPunct w:val="0"/>
        <w:topLinePunct/>
        <w:spacing w:line="620" w:lineRule="exact"/>
        <w:ind w:firstLine="646" w:firstLineChars="200"/>
        <w:rPr>
          <w:rFonts w:hint="eastAsia"/>
        </w:rPr>
      </w:pPr>
      <w:r>
        <w:rPr>
          <w:rFonts w:hint="eastAsia"/>
        </w:rPr>
        <w:t>25.</w:t>
      </w:r>
      <w:r>
        <w:t xml:space="preserve"> </w:t>
      </w:r>
      <w:r>
        <w:rPr>
          <w:rFonts w:hint="eastAsia"/>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overflowPunct w:val="0"/>
        <w:topLinePunct/>
        <w:spacing w:line="620" w:lineRule="exact"/>
        <w:ind w:firstLine="646" w:firstLineChars="200"/>
      </w:pPr>
      <w:r>
        <w:rPr>
          <w:rFonts w:hint="eastAsia"/>
        </w:rPr>
        <w:t>26.</w:t>
      </w:r>
      <w:r>
        <w:t xml:space="preserve"> </w:t>
      </w:r>
      <w:r>
        <w:rPr>
          <w:rFonts w:hint="eastAsi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overflowPunct w:val="0"/>
        <w:topLinePunct/>
        <w:spacing w:line="620" w:lineRule="exact"/>
        <w:ind w:firstLine="646" w:firstLineChars="200"/>
      </w:pPr>
    </w:p>
    <w:p>
      <w:pPr>
        <w:overflowPunct w:val="0"/>
        <w:topLinePunct/>
        <w:spacing w:line="620" w:lineRule="exact"/>
        <w:ind w:firstLine="646" w:firstLineChars="200"/>
      </w:pPr>
      <w:r>
        <w:br w:type="page"/>
      </w:r>
    </w:p>
    <w:p>
      <w:pPr>
        <w:overflowPunct w:val="0"/>
        <w:topLinePunct/>
        <w:spacing w:line="620" w:lineRule="exact"/>
        <w:ind w:firstLine="646" w:firstLineChars="200"/>
      </w:pPr>
    </w:p>
    <w:p>
      <w:pPr>
        <w:overflowPunct w:val="0"/>
        <w:topLinePunct/>
        <w:spacing w:line="620" w:lineRule="exact"/>
        <w:ind w:firstLine="646" w:firstLineChars="200"/>
      </w:pPr>
    </w:p>
    <w:p>
      <w:pPr>
        <w:overflowPunct w:val="0"/>
        <w:topLinePunct/>
        <w:spacing w:line="620" w:lineRule="exact"/>
        <w:ind w:firstLine="646" w:firstLineChars="200"/>
      </w:pPr>
    </w:p>
    <w:p>
      <w:pPr>
        <w:overflowPunct w:val="0"/>
        <w:topLinePunct/>
        <w:spacing w:line="620" w:lineRule="exact"/>
        <w:ind w:firstLine="646" w:firstLineChars="200"/>
      </w:pPr>
    </w:p>
    <w:p>
      <w:pPr>
        <w:overflowPunct w:val="0"/>
        <w:topLinePunct/>
        <w:spacing w:line="620" w:lineRule="exact"/>
        <w:ind w:firstLine="646" w:firstLineChars="200"/>
      </w:pPr>
    </w:p>
    <w:p>
      <w:pPr>
        <w:overflowPunct w:val="0"/>
        <w:topLinePunct/>
        <w:spacing w:line="620" w:lineRule="exact"/>
        <w:ind w:firstLine="646" w:firstLineChars="200"/>
      </w:pPr>
    </w:p>
    <w:p>
      <w:pPr>
        <w:overflowPunct w:val="0"/>
        <w:topLinePunct/>
        <w:spacing w:line="620" w:lineRule="exact"/>
        <w:ind w:firstLine="646" w:firstLineChars="200"/>
      </w:pPr>
    </w:p>
    <w:p>
      <w:pPr>
        <w:overflowPunct w:val="0"/>
        <w:topLinePunct/>
        <w:spacing w:line="620" w:lineRule="exact"/>
        <w:ind w:firstLine="646" w:firstLineChars="200"/>
      </w:pPr>
    </w:p>
    <w:p>
      <w:pPr>
        <w:pStyle w:val="2"/>
        <w:overflowPunct w:val="0"/>
        <w:spacing w:before="0" w:after="0" w:line="620" w:lineRule="exact"/>
        <w:jc w:val="center"/>
        <w:rPr>
          <w:rFonts w:ascii="方正小标宋简体" w:hAnsi="仿宋" w:eastAsia="方正小标宋简体" w:cs="仿宋"/>
          <w:b w:val="0"/>
          <w:sz w:val="32"/>
          <w:szCs w:val="32"/>
        </w:rPr>
      </w:pPr>
      <w:bookmarkStart w:id="43" w:name="_Toc15396614"/>
      <w:bookmarkStart w:id="44" w:name="_Toc80282384"/>
      <w:r>
        <w:rPr>
          <w:rFonts w:hint="eastAsia" w:ascii="方正小标宋简体" w:hAnsi="仿宋" w:eastAsia="方正小标宋简体" w:cs="仿宋"/>
          <w:b w:val="0"/>
          <w:sz w:val="32"/>
          <w:szCs w:val="32"/>
        </w:rPr>
        <w:t>第</w:t>
      </w:r>
      <w:r>
        <w:rPr>
          <w:rFonts w:hint="eastAsia" w:ascii="方正小标宋简体" w:eastAsia="方正小标宋简体"/>
          <w:b w:val="0"/>
          <w:bCs w:val="0"/>
          <w:sz w:val="32"/>
          <w:szCs w:val="32"/>
        </w:rPr>
        <w:t>四部分 附件</w:t>
      </w:r>
      <w:bookmarkEnd w:id="43"/>
      <w:bookmarkEnd w:id="44"/>
    </w:p>
    <w:p>
      <w:pPr>
        <w:overflowPunct w:val="0"/>
        <w:topLinePunct/>
        <w:spacing w:line="620" w:lineRule="exact"/>
        <w:ind w:firstLine="646" w:firstLineChars="200"/>
      </w:pPr>
    </w:p>
    <w:p>
      <w:pPr>
        <w:pStyle w:val="3"/>
        <w:spacing w:before="0" w:after="0" w:line="620" w:lineRule="exact"/>
        <w:rPr>
          <w:rStyle w:val="18"/>
          <w:rFonts w:hint="eastAsia" w:ascii="黑体" w:hAnsi="黑体" w:eastAsia="黑体"/>
        </w:rPr>
      </w:pPr>
      <w:r>
        <w:br w:type="page"/>
      </w:r>
      <w:bookmarkStart w:id="45" w:name="_Toc80282385"/>
      <w:r>
        <w:rPr>
          <w:rStyle w:val="18"/>
          <w:rFonts w:hint="eastAsia" w:ascii="黑体" w:hAnsi="黑体" w:eastAsia="黑体"/>
        </w:rPr>
        <w:t>附件1</w:t>
      </w:r>
      <w:bookmarkEnd w:id="45"/>
    </w:p>
    <w:p>
      <w:pPr>
        <w:overflowPunct w:val="0"/>
        <w:topLinePunct/>
        <w:spacing w:line="620" w:lineRule="exact"/>
        <w:ind w:firstLine="646" w:firstLineChars="200"/>
      </w:pPr>
    </w:p>
    <w:p>
      <w:pPr>
        <w:overflowPunct w:val="0"/>
        <w:topLinePunct/>
        <w:spacing w:line="620" w:lineRule="exact"/>
        <w:jc w:val="center"/>
        <w:rPr>
          <w:rFonts w:hint="eastAsia" w:ascii="方正小标宋简体" w:eastAsia="方正小标宋简体"/>
          <w:sz w:val="44"/>
          <w:szCs w:val="44"/>
        </w:rPr>
      </w:pPr>
      <w:r>
        <w:rPr>
          <w:rFonts w:hint="eastAsia" w:ascii="方正小标宋简体" w:eastAsia="方正小标宋简体"/>
          <w:sz w:val="44"/>
          <w:szCs w:val="44"/>
        </w:rPr>
        <w:t>遂宁市票据监管中心</w:t>
      </w:r>
    </w:p>
    <w:p>
      <w:pPr>
        <w:overflowPunct w:val="0"/>
        <w:topLinePunct/>
        <w:spacing w:line="620" w:lineRule="exact"/>
        <w:jc w:val="center"/>
        <w:rPr>
          <w:rFonts w:hint="eastAsia" w:ascii="方正小标宋简体" w:eastAsia="方正小标宋简体"/>
          <w:sz w:val="44"/>
          <w:szCs w:val="44"/>
        </w:rPr>
      </w:pPr>
      <w:r>
        <w:rPr>
          <w:rFonts w:hint="eastAsia" w:ascii="方正小标宋简体" w:eastAsia="方正小标宋简体"/>
          <w:sz w:val="44"/>
          <w:szCs w:val="44"/>
        </w:rPr>
        <w:t>2020年市级部门整体支出绩效报告</w:t>
      </w:r>
    </w:p>
    <w:p>
      <w:pPr>
        <w:overflowPunct w:val="0"/>
        <w:topLinePunct/>
        <w:spacing w:line="620" w:lineRule="exact"/>
        <w:ind w:firstLine="646" w:firstLineChars="200"/>
      </w:pPr>
    </w:p>
    <w:p>
      <w:pPr>
        <w:overflowPunct w:val="0"/>
        <w:topLinePunct/>
        <w:spacing w:line="620" w:lineRule="exact"/>
        <w:ind w:firstLine="646" w:firstLineChars="200"/>
        <w:rPr>
          <w:rFonts w:hint="eastAsia" w:ascii="黑体" w:hAnsi="黑体" w:eastAsia="黑体"/>
        </w:rPr>
      </w:pPr>
      <w:r>
        <w:rPr>
          <w:rFonts w:hint="eastAsia" w:ascii="黑体" w:hAnsi="黑体" w:eastAsia="黑体"/>
        </w:rPr>
        <w:t>一、部门（单位）概况</w:t>
      </w:r>
    </w:p>
    <w:p>
      <w:pPr>
        <w:overflowPunct w:val="0"/>
        <w:topLinePunct/>
        <w:spacing w:line="620" w:lineRule="exact"/>
        <w:ind w:firstLine="646" w:firstLineChars="200"/>
        <w:rPr>
          <w:rFonts w:hint="eastAsia" w:ascii="楷体_GB2312" w:eastAsia="楷体_GB2312"/>
        </w:rPr>
      </w:pPr>
      <w:r>
        <w:rPr>
          <w:rFonts w:hint="eastAsia" w:ascii="楷体_GB2312" w:eastAsia="楷体_GB2312"/>
        </w:rPr>
        <w:t>（一）机构组成。</w:t>
      </w:r>
    </w:p>
    <w:p>
      <w:pPr>
        <w:overflowPunct w:val="0"/>
        <w:topLinePunct/>
        <w:spacing w:line="620" w:lineRule="exact"/>
        <w:ind w:firstLine="646" w:firstLineChars="200"/>
        <w:rPr>
          <w:rFonts w:hint="eastAsia"/>
        </w:rPr>
      </w:pPr>
      <w:r>
        <w:rPr>
          <w:rFonts w:hint="eastAsia"/>
        </w:rPr>
        <w:t>参照公务员管理的事业单位。</w:t>
      </w:r>
    </w:p>
    <w:p>
      <w:pPr>
        <w:overflowPunct w:val="0"/>
        <w:topLinePunct/>
        <w:spacing w:line="620" w:lineRule="exact"/>
        <w:ind w:firstLine="646" w:firstLineChars="200"/>
        <w:rPr>
          <w:rFonts w:hint="eastAsia" w:ascii="楷体_GB2312" w:eastAsia="楷体_GB2312"/>
        </w:rPr>
      </w:pPr>
      <w:r>
        <w:rPr>
          <w:rFonts w:hint="eastAsia" w:ascii="楷体_GB2312" w:eastAsia="楷体_GB2312"/>
        </w:rPr>
        <w:t>（二）机构职能。</w:t>
      </w:r>
    </w:p>
    <w:p>
      <w:pPr>
        <w:overflowPunct w:val="0"/>
        <w:topLinePunct/>
        <w:spacing w:line="620" w:lineRule="exact"/>
        <w:ind w:firstLine="646" w:firstLineChars="200"/>
        <w:rPr>
          <w:rFonts w:hint="eastAsia"/>
        </w:rPr>
      </w:pPr>
      <w:r>
        <w:rPr>
          <w:rFonts w:hint="eastAsia"/>
        </w:rPr>
        <w:t>负责全市行政事业单位使用的财政票据的使用、监督管理、领用和发行工作，以及对票据的审查、稽查、核销工作，并配合搞好市直行政事业单位非税收入和“收支两条线”的管理工作。</w:t>
      </w:r>
    </w:p>
    <w:p>
      <w:pPr>
        <w:overflowPunct w:val="0"/>
        <w:topLinePunct/>
        <w:spacing w:line="620" w:lineRule="exact"/>
        <w:ind w:firstLine="646" w:firstLineChars="200"/>
        <w:rPr>
          <w:rFonts w:hint="eastAsia" w:ascii="楷体_GB2312" w:eastAsia="楷体_GB2312"/>
        </w:rPr>
      </w:pPr>
      <w:r>
        <w:rPr>
          <w:rFonts w:hint="eastAsia" w:ascii="楷体_GB2312" w:eastAsia="楷体_GB2312"/>
        </w:rPr>
        <w:t>（三）人员概况。</w:t>
      </w:r>
    </w:p>
    <w:p>
      <w:pPr>
        <w:overflowPunct w:val="0"/>
        <w:topLinePunct/>
        <w:spacing w:line="620" w:lineRule="exact"/>
        <w:ind w:firstLine="646" w:firstLineChars="200"/>
        <w:rPr>
          <w:rFonts w:hint="eastAsia"/>
        </w:rPr>
      </w:pPr>
      <w:r>
        <w:rPr>
          <w:rFonts w:hint="eastAsia"/>
        </w:rPr>
        <w:t>单位编制10人。</w:t>
      </w:r>
    </w:p>
    <w:p>
      <w:pPr>
        <w:overflowPunct w:val="0"/>
        <w:topLinePunct/>
        <w:spacing w:line="620" w:lineRule="exact"/>
        <w:ind w:firstLine="646" w:firstLineChars="200"/>
        <w:rPr>
          <w:rFonts w:hint="eastAsia" w:ascii="黑体" w:hAnsi="黑体" w:eastAsia="黑体"/>
        </w:rPr>
      </w:pPr>
      <w:r>
        <w:rPr>
          <w:rFonts w:hint="eastAsia" w:ascii="黑体" w:hAnsi="黑体" w:eastAsia="黑体"/>
        </w:rPr>
        <w:t>二、部门财政资金收支情况</w:t>
      </w:r>
    </w:p>
    <w:p>
      <w:pPr>
        <w:overflowPunct w:val="0"/>
        <w:topLinePunct/>
        <w:spacing w:line="620" w:lineRule="exact"/>
        <w:ind w:firstLine="646" w:firstLineChars="200"/>
        <w:rPr>
          <w:rFonts w:hint="eastAsia" w:ascii="楷体_GB2312" w:eastAsia="楷体_GB2312"/>
        </w:rPr>
      </w:pPr>
      <w:r>
        <w:rPr>
          <w:rFonts w:hint="eastAsia" w:ascii="楷体_GB2312" w:eastAsia="楷体_GB2312"/>
        </w:rPr>
        <w:t>（一）部门财政资金收入情况。</w:t>
      </w:r>
    </w:p>
    <w:p>
      <w:pPr>
        <w:overflowPunct w:val="0"/>
        <w:topLinePunct/>
        <w:spacing w:line="620" w:lineRule="exact"/>
        <w:ind w:firstLine="646" w:firstLineChars="200"/>
        <w:rPr>
          <w:rFonts w:hint="eastAsia"/>
        </w:rPr>
      </w:pPr>
      <w:r>
        <w:rPr>
          <w:rFonts w:hint="eastAsia"/>
        </w:rPr>
        <w:t>本年财政拨款收入210.48万元，其中基本支出138.70万元，占财政总收入的65.9%；项目支出71.78万元，占财政总收入的34.10%。</w:t>
      </w:r>
    </w:p>
    <w:p>
      <w:pPr>
        <w:overflowPunct w:val="0"/>
        <w:topLinePunct/>
        <w:spacing w:line="620" w:lineRule="exact"/>
        <w:ind w:firstLine="646" w:firstLineChars="200"/>
        <w:rPr>
          <w:rFonts w:hint="eastAsia" w:ascii="楷体_GB2312" w:eastAsia="楷体_GB2312"/>
        </w:rPr>
      </w:pPr>
      <w:r>
        <w:rPr>
          <w:rFonts w:hint="eastAsia" w:ascii="楷体_GB2312" w:eastAsia="楷体_GB2312"/>
        </w:rPr>
        <w:t>（二）部门财政资金支出情况。</w:t>
      </w:r>
    </w:p>
    <w:p>
      <w:pPr>
        <w:overflowPunct w:val="0"/>
        <w:topLinePunct/>
        <w:spacing w:line="620" w:lineRule="exact"/>
        <w:ind w:firstLine="646" w:firstLineChars="200"/>
        <w:rPr>
          <w:rFonts w:hint="eastAsia"/>
        </w:rPr>
      </w:pPr>
      <w:r>
        <w:rPr>
          <w:rFonts w:hint="eastAsia"/>
        </w:rPr>
        <w:t>本年财政拨款支出210.48万元，其中基本支出138.70万元，占财政总支出的65.9%；项目支出71.78万元，占财政总支出的34.10%。</w:t>
      </w:r>
    </w:p>
    <w:p>
      <w:pPr>
        <w:overflowPunct w:val="0"/>
        <w:topLinePunct/>
        <w:spacing w:line="620" w:lineRule="exact"/>
        <w:ind w:firstLine="646" w:firstLineChars="200"/>
        <w:rPr>
          <w:rFonts w:hint="eastAsia" w:ascii="黑体" w:hAnsi="黑体" w:eastAsia="黑体"/>
        </w:rPr>
      </w:pPr>
      <w:r>
        <w:rPr>
          <w:rFonts w:hint="eastAsia" w:ascii="黑体" w:hAnsi="黑体" w:eastAsia="黑体"/>
        </w:rPr>
        <w:t>三、部门整体预算绩效管理情况（根据适用指标体系进行调整，涉及</w:t>
      </w:r>
      <w:bookmarkStart w:id="63" w:name="_GoBack"/>
      <w:bookmarkEnd w:id="63"/>
      <w:r>
        <w:rPr>
          <w:rFonts w:hint="eastAsia" w:ascii="黑体" w:hAnsi="黑体" w:eastAsia="黑体"/>
        </w:rPr>
        <w:t>有专项预算的部门，专项预算项目自评报告根据要求另行单独报送）</w:t>
      </w:r>
    </w:p>
    <w:p>
      <w:pPr>
        <w:overflowPunct w:val="0"/>
        <w:topLinePunct/>
        <w:spacing w:line="620" w:lineRule="exact"/>
        <w:ind w:firstLine="646" w:firstLineChars="200"/>
        <w:rPr>
          <w:rFonts w:hint="eastAsia" w:ascii="楷体_GB2312" w:eastAsia="楷体_GB2312"/>
        </w:rPr>
      </w:pPr>
      <w:r>
        <w:rPr>
          <w:rFonts w:hint="eastAsia" w:ascii="楷体_GB2312" w:eastAsia="楷体_GB2312"/>
        </w:rPr>
        <w:t>（一）部门预算管理。</w:t>
      </w:r>
    </w:p>
    <w:p>
      <w:pPr>
        <w:overflowPunct w:val="0"/>
        <w:topLinePunct/>
        <w:spacing w:line="620" w:lineRule="exact"/>
        <w:ind w:firstLine="646" w:firstLineChars="200"/>
        <w:rPr>
          <w:rFonts w:hint="eastAsia"/>
        </w:rPr>
      </w:pPr>
      <w:r>
        <w:rPr>
          <w:rFonts w:hint="eastAsia"/>
        </w:rPr>
        <w:t>2020年以来，我中心严格按照《中共中央国务院关于全面实施预算绩效管理的意见》和《财政部关于贯彻落实〈中共中央国务院关于全面实施预算绩效管理的意见〉的通知》（财预〔2018〕167号）文件要求开展预算绩效管理工作，年初编制部门预算设定预算绩效目标，细化绩效指标，年终根据绩效目标开展绩效自评。</w:t>
      </w:r>
    </w:p>
    <w:p>
      <w:pPr>
        <w:overflowPunct w:val="0"/>
        <w:topLinePunct/>
        <w:spacing w:line="620" w:lineRule="exact"/>
        <w:ind w:firstLine="646" w:firstLineChars="200"/>
        <w:rPr>
          <w:rFonts w:hint="eastAsia" w:ascii="楷体_GB2312" w:eastAsia="楷体_GB2312"/>
        </w:rPr>
      </w:pPr>
      <w:r>
        <w:rPr>
          <w:rFonts w:hint="eastAsia" w:ascii="楷体_GB2312" w:eastAsia="楷体_GB2312"/>
        </w:rPr>
        <w:t>（二）结果应用情况。</w:t>
      </w:r>
    </w:p>
    <w:p>
      <w:pPr>
        <w:overflowPunct w:val="0"/>
        <w:topLinePunct/>
        <w:spacing w:line="620" w:lineRule="exact"/>
        <w:ind w:firstLine="646" w:firstLineChars="200"/>
        <w:rPr>
          <w:rFonts w:hint="eastAsia"/>
        </w:rPr>
      </w:pPr>
      <w:r>
        <w:rPr>
          <w:rFonts w:hint="eastAsia"/>
        </w:rPr>
        <w:t>我中心2020年度预算编制要素完整，绩效目标量化细化，目标任务基本符合实际情况，支出控制严格，预算执行情况良好。</w:t>
      </w:r>
    </w:p>
    <w:p>
      <w:pPr>
        <w:overflowPunct w:val="0"/>
        <w:topLinePunct/>
        <w:spacing w:line="620" w:lineRule="exact"/>
        <w:ind w:firstLine="646" w:firstLineChars="200"/>
        <w:rPr>
          <w:rFonts w:hint="eastAsia"/>
        </w:rPr>
      </w:pPr>
      <w:r>
        <w:rPr>
          <w:rFonts w:hint="eastAsia"/>
        </w:rPr>
        <w:t>1. 设定绩效目标科学，绩效指标足够细化。</w:t>
      </w:r>
    </w:p>
    <w:p>
      <w:pPr>
        <w:overflowPunct w:val="0"/>
        <w:topLinePunct/>
        <w:spacing w:line="620" w:lineRule="exact"/>
        <w:ind w:firstLine="646" w:firstLineChars="200"/>
        <w:rPr>
          <w:rFonts w:hint="eastAsia"/>
        </w:rPr>
      </w:pPr>
      <w:r>
        <w:rPr>
          <w:rFonts w:hint="eastAsia"/>
        </w:rPr>
        <w:t>2. 全面预估年度目标，真正做到绩效设定与执行的有效衔接，避免绩效目标与实际不符。</w:t>
      </w:r>
    </w:p>
    <w:p>
      <w:pPr>
        <w:overflowPunct w:val="0"/>
        <w:topLinePunct/>
        <w:spacing w:line="620" w:lineRule="exact"/>
        <w:ind w:firstLine="646" w:firstLineChars="200"/>
        <w:rPr>
          <w:rFonts w:hint="eastAsia" w:ascii="黑体" w:hAnsi="黑体" w:eastAsia="黑体"/>
        </w:rPr>
      </w:pPr>
      <w:r>
        <w:rPr>
          <w:rFonts w:hint="eastAsia" w:ascii="黑体" w:hAnsi="黑体" w:eastAsia="黑体"/>
        </w:rPr>
        <w:t>四、评价结论及建议</w:t>
      </w:r>
    </w:p>
    <w:p>
      <w:pPr>
        <w:overflowPunct w:val="0"/>
        <w:topLinePunct/>
        <w:spacing w:line="620" w:lineRule="exact"/>
        <w:ind w:firstLine="646" w:firstLineChars="200"/>
        <w:rPr>
          <w:rFonts w:hint="eastAsia" w:ascii="楷体_GB2312" w:eastAsia="楷体_GB2312"/>
        </w:rPr>
      </w:pPr>
      <w:r>
        <w:rPr>
          <w:rFonts w:hint="eastAsia" w:ascii="楷体_GB2312" w:eastAsia="楷体_GB2312"/>
        </w:rPr>
        <w:t>（一）评价结论。</w:t>
      </w:r>
    </w:p>
    <w:p>
      <w:pPr>
        <w:overflowPunct w:val="0"/>
        <w:topLinePunct/>
        <w:spacing w:line="620" w:lineRule="exact"/>
        <w:ind w:firstLine="646" w:firstLineChars="200"/>
      </w:pPr>
      <w:r>
        <w:rPr>
          <w:rFonts w:hint="eastAsia"/>
        </w:rPr>
        <w:t>根据《市级部门预算绩效管理工作考核评分表》考核指标、考核内容及计分标准结合我中心具体工作开展情况自评，我中心2020年度整体绩效考核自评得分98分。</w:t>
      </w:r>
    </w:p>
    <w:tbl>
      <w:tblPr>
        <w:tblStyle w:val="10"/>
        <w:tblW w:w="9179" w:type="dxa"/>
        <w:tblInd w:w="93" w:type="dxa"/>
        <w:tblLayout w:type="autofit"/>
        <w:tblCellMar>
          <w:top w:w="0" w:type="dxa"/>
          <w:left w:w="108" w:type="dxa"/>
          <w:bottom w:w="0" w:type="dxa"/>
          <w:right w:w="108" w:type="dxa"/>
        </w:tblCellMar>
      </w:tblPr>
      <w:tblGrid>
        <w:gridCol w:w="2071"/>
        <w:gridCol w:w="1776"/>
        <w:gridCol w:w="1780"/>
        <w:gridCol w:w="1776"/>
        <w:gridCol w:w="1776"/>
      </w:tblGrid>
      <w:tr>
        <w:tblPrEx>
          <w:tblCellMar>
            <w:top w:w="0" w:type="dxa"/>
            <w:left w:w="108" w:type="dxa"/>
            <w:bottom w:w="0" w:type="dxa"/>
            <w:right w:w="108" w:type="dxa"/>
          </w:tblCellMar>
        </w:tblPrEx>
        <w:trPr>
          <w:wBefore w:w="0" w:type="dxa"/>
          <w:wAfter w:w="0" w:type="dxa"/>
          <w:trHeight w:val="502" w:hRule="atLeast"/>
        </w:trPr>
        <w:tc>
          <w:tcPr>
            <w:tcW w:w="562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绩效指标</w:t>
            </w:r>
          </w:p>
        </w:tc>
        <w:tc>
          <w:tcPr>
            <w:tcW w:w="177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指标分值</w:t>
            </w:r>
          </w:p>
        </w:tc>
        <w:tc>
          <w:tcPr>
            <w:tcW w:w="1776" w:type="dxa"/>
            <w:vMerge w:val="restart"/>
            <w:tcBorders>
              <w:top w:val="single" w:color="000000" w:sz="4" w:space="0"/>
              <w:left w:val="nil"/>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自评得分</w:t>
            </w:r>
          </w:p>
        </w:tc>
      </w:tr>
      <w:tr>
        <w:tblPrEx>
          <w:tblCellMar>
            <w:top w:w="0" w:type="dxa"/>
            <w:left w:w="108" w:type="dxa"/>
            <w:bottom w:w="0" w:type="dxa"/>
            <w:right w:w="108" w:type="dxa"/>
          </w:tblCellMar>
        </w:tblPrEx>
        <w:trPr>
          <w:wBefore w:w="0" w:type="dxa"/>
          <w:wAfter w:w="0" w:type="dxa"/>
          <w:trHeight w:val="502" w:hRule="atLeast"/>
        </w:trPr>
        <w:tc>
          <w:tcPr>
            <w:tcW w:w="20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一级指标</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二级指标</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三级指标</w:t>
            </w:r>
          </w:p>
        </w:tc>
        <w:tc>
          <w:tcPr>
            <w:tcW w:w="1776" w:type="dxa"/>
            <w:vMerge w:val="continue"/>
            <w:tcBorders>
              <w:top w:val="single" w:color="000000" w:sz="4" w:space="0"/>
              <w:left w:val="single" w:color="000000" w:sz="4" w:space="0"/>
              <w:bottom w:val="single" w:color="000000" w:sz="4" w:space="0"/>
              <w:right w:val="single" w:color="000000" w:sz="4" w:space="0"/>
            </w:tcBorders>
            <w:noWrap w:val="0"/>
            <w:vAlign w:val="center"/>
          </w:tcPr>
          <w:p>
            <w:pPr>
              <w:spacing w:line="240" w:lineRule="exact"/>
              <w:jc w:val="center"/>
              <w:rPr>
                <w:rFonts w:hint="eastAsia" w:ascii="宋体" w:hAnsi="宋体" w:eastAsia="宋体" w:cs="宋体"/>
                <w:color w:val="000000"/>
                <w:kern w:val="0"/>
                <w:sz w:val="24"/>
                <w:lang w:bidi="ar"/>
              </w:rPr>
            </w:pPr>
          </w:p>
        </w:tc>
        <w:tc>
          <w:tcPr>
            <w:tcW w:w="1776" w:type="dxa"/>
            <w:vMerge w:val="continue"/>
            <w:tcBorders>
              <w:top w:val="single" w:color="000000" w:sz="4" w:space="0"/>
              <w:left w:val="nil"/>
              <w:bottom w:val="single" w:color="000000" w:sz="4" w:space="0"/>
              <w:right w:val="single" w:color="000000" w:sz="4" w:space="0"/>
            </w:tcBorders>
            <w:noWrap w:val="0"/>
            <w:vAlign w:val="center"/>
          </w:tcPr>
          <w:p>
            <w:pPr>
              <w:spacing w:line="240" w:lineRule="exact"/>
              <w:jc w:val="center"/>
              <w:rPr>
                <w:rFonts w:hint="eastAsia" w:ascii="宋体" w:hAnsi="宋体" w:eastAsia="宋体" w:cs="宋体"/>
                <w:color w:val="000000"/>
                <w:kern w:val="0"/>
                <w:sz w:val="24"/>
                <w:lang w:bidi="ar"/>
              </w:rPr>
            </w:pPr>
          </w:p>
        </w:tc>
      </w:tr>
      <w:tr>
        <w:tblPrEx>
          <w:tblCellMar>
            <w:top w:w="0" w:type="dxa"/>
            <w:left w:w="108" w:type="dxa"/>
            <w:bottom w:w="0" w:type="dxa"/>
            <w:right w:w="108" w:type="dxa"/>
          </w:tblCellMar>
        </w:tblPrEx>
        <w:trPr>
          <w:wBefore w:w="0" w:type="dxa"/>
          <w:wAfter w:w="0" w:type="dxa"/>
          <w:trHeight w:val="502" w:hRule="atLeast"/>
        </w:trPr>
        <w:tc>
          <w:tcPr>
            <w:tcW w:w="207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预算管理</w:t>
            </w:r>
          </w:p>
        </w:tc>
        <w:tc>
          <w:tcPr>
            <w:tcW w:w="177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预算编制</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目标制定</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w:t>
            </w:r>
          </w:p>
        </w:tc>
      </w:tr>
      <w:tr>
        <w:tblPrEx>
          <w:tblCellMar>
            <w:top w:w="0" w:type="dxa"/>
            <w:left w:w="108" w:type="dxa"/>
            <w:bottom w:w="0" w:type="dxa"/>
            <w:right w:w="108" w:type="dxa"/>
          </w:tblCellMar>
        </w:tblPrEx>
        <w:trPr>
          <w:wBefore w:w="0" w:type="dxa"/>
          <w:wAfter w:w="0" w:type="dxa"/>
          <w:trHeight w:val="502" w:hRule="atLeast"/>
        </w:trPr>
        <w:tc>
          <w:tcPr>
            <w:tcW w:w="20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目标实现</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w:t>
            </w:r>
          </w:p>
        </w:tc>
      </w:tr>
      <w:tr>
        <w:tblPrEx>
          <w:tblCellMar>
            <w:top w:w="0" w:type="dxa"/>
            <w:left w:w="108" w:type="dxa"/>
            <w:bottom w:w="0" w:type="dxa"/>
            <w:right w:w="108" w:type="dxa"/>
          </w:tblCellMar>
        </w:tblPrEx>
        <w:trPr>
          <w:wBefore w:w="0" w:type="dxa"/>
          <w:wAfter w:w="0" w:type="dxa"/>
          <w:trHeight w:val="502" w:hRule="atLeast"/>
        </w:trPr>
        <w:tc>
          <w:tcPr>
            <w:tcW w:w="20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编制准确</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w:t>
            </w:r>
          </w:p>
        </w:tc>
      </w:tr>
      <w:tr>
        <w:tblPrEx>
          <w:tblCellMar>
            <w:top w:w="0" w:type="dxa"/>
            <w:left w:w="108" w:type="dxa"/>
            <w:bottom w:w="0" w:type="dxa"/>
            <w:right w:w="108" w:type="dxa"/>
          </w:tblCellMar>
        </w:tblPrEx>
        <w:trPr>
          <w:wBefore w:w="0" w:type="dxa"/>
          <w:wAfter w:w="0" w:type="dxa"/>
          <w:trHeight w:val="502" w:hRule="atLeast"/>
        </w:trPr>
        <w:tc>
          <w:tcPr>
            <w:tcW w:w="20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p>
        </w:tc>
        <w:tc>
          <w:tcPr>
            <w:tcW w:w="177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 xml:space="preserve">                                                                             预算执行</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支出控制</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w:t>
            </w:r>
          </w:p>
        </w:tc>
      </w:tr>
      <w:tr>
        <w:tblPrEx>
          <w:tblCellMar>
            <w:top w:w="0" w:type="dxa"/>
            <w:left w:w="108" w:type="dxa"/>
            <w:bottom w:w="0" w:type="dxa"/>
            <w:right w:w="108" w:type="dxa"/>
          </w:tblCellMar>
        </w:tblPrEx>
        <w:trPr>
          <w:wBefore w:w="0" w:type="dxa"/>
          <w:wAfter w:w="0" w:type="dxa"/>
          <w:trHeight w:val="502" w:hRule="atLeast"/>
        </w:trPr>
        <w:tc>
          <w:tcPr>
            <w:tcW w:w="20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动态调整</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9</w:t>
            </w:r>
          </w:p>
        </w:tc>
      </w:tr>
      <w:tr>
        <w:tblPrEx>
          <w:tblCellMar>
            <w:top w:w="0" w:type="dxa"/>
            <w:left w:w="108" w:type="dxa"/>
            <w:bottom w:w="0" w:type="dxa"/>
            <w:right w:w="108" w:type="dxa"/>
          </w:tblCellMar>
        </w:tblPrEx>
        <w:trPr>
          <w:wBefore w:w="0" w:type="dxa"/>
          <w:wAfter w:w="0" w:type="dxa"/>
          <w:trHeight w:val="502" w:hRule="atLeast"/>
        </w:trPr>
        <w:tc>
          <w:tcPr>
            <w:tcW w:w="20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执行进度</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w:t>
            </w:r>
          </w:p>
        </w:tc>
      </w:tr>
      <w:tr>
        <w:tblPrEx>
          <w:tblCellMar>
            <w:top w:w="0" w:type="dxa"/>
            <w:left w:w="108" w:type="dxa"/>
            <w:bottom w:w="0" w:type="dxa"/>
            <w:right w:w="108" w:type="dxa"/>
          </w:tblCellMar>
        </w:tblPrEx>
        <w:trPr>
          <w:wBefore w:w="0" w:type="dxa"/>
          <w:wAfter w:w="0" w:type="dxa"/>
          <w:trHeight w:val="502" w:hRule="atLeast"/>
        </w:trPr>
        <w:tc>
          <w:tcPr>
            <w:tcW w:w="20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p>
        </w:tc>
        <w:tc>
          <w:tcPr>
            <w:tcW w:w="177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完成结果</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预算完成</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w:t>
            </w:r>
          </w:p>
        </w:tc>
      </w:tr>
      <w:tr>
        <w:tblPrEx>
          <w:tblCellMar>
            <w:top w:w="0" w:type="dxa"/>
            <w:left w:w="108" w:type="dxa"/>
            <w:bottom w:w="0" w:type="dxa"/>
            <w:right w:w="108" w:type="dxa"/>
          </w:tblCellMar>
        </w:tblPrEx>
        <w:trPr>
          <w:wBefore w:w="0" w:type="dxa"/>
          <w:wAfter w:w="0" w:type="dxa"/>
          <w:trHeight w:val="502" w:hRule="atLeast"/>
        </w:trPr>
        <w:tc>
          <w:tcPr>
            <w:tcW w:w="20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违规记录</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w:t>
            </w:r>
          </w:p>
        </w:tc>
      </w:tr>
      <w:tr>
        <w:tblPrEx>
          <w:tblCellMar>
            <w:top w:w="0" w:type="dxa"/>
            <w:left w:w="108" w:type="dxa"/>
            <w:bottom w:w="0" w:type="dxa"/>
            <w:right w:w="108" w:type="dxa"/>
          </w:tblCellMar>
        </w:tblPrEx>
        <w:trPr>
          <w:wBefore w:w="0" w:type="dxa"/>
          <w:wAfter w:w="0" w:type="dxa"/>
          <w:trHeight w:val="502" w:hRule="atLeast"/>
        </w:trPr>
        <w:tc>
          <w:tcPr>
            <w:tcW w:w="207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绩效结果应用</w:t>
            </w:r>
          </w:p>
        </w:tc>
        <w:tc>
          <w:tcPr>
            <w:tcW w:w="177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信息公开</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自评公开</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2</w:t>
            </w:r>
          </w:p>
        </w:tc>
      </w:tr>
      <w:tr>
        <w:tblPrEx>
          <w:tblCellMar>
            <w:top w:w="0" w:type="dxa"/>
            <w:left w:w="108" w:type="dxa"/>
            <w:bottom w:w="0" w:type="dxa"/>
            <w:right w:w="108" w:type="dxa"/>
          </w:tblCellMar>
        </w:tblPrEx>
        <w:trPr>
          <w:wBefore w:w="0" w:type="dxa"/>
          <w:wAfter w:w="0" w:type="dxa"/>
          <w:trHeight w:val="502" w:hRule="atLeast"/>
        </w:trPr>
        <w:tc>
          <w:tcPr>
            <w:tcW w:w="20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p>
        </w:tc>
        <w:tc>
          <w:tcPr>
            <w:tcW w:w="177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整改反馈</w:t>
            </w: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结果整改</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w:t>
            </w:r>
          </w:p>
        </w:tc>
      </w:tr>
      <w:tr>
        <w:tblPrEx>
          <w:tblCellMar>
            <w:top w:w="0" w:type="dxa"/>
            <w:left w:w="108" w:type="dxa"/>
            <w:bottom w:w="0" w:type="dxa"/>
            <w:right w:w="108" w:type="dxa"/>
          </w:tblCellMar>
        </w:tblPrEx>
        <w:trPr>
          <w:wBefore w:w="0" w:type="dxa"/>
          <w:wAfter w:w="0" w:type="dxa"/>
          <w:trHeight w:val="502" w:hRule="atLeast"/>
        </w:trPr>
        <w:tc>
          <w:tcPr>
            <w:tcW w:w="2071"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p>
        </w:tc>
        <w:tc>
          <w:tcPr>
            <w:tcW w:w="177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p>
        </w:tc>
        <w:tc>
          <w:tcPr>
            <w:tcW w:w="178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应用反馈</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4</w:t>
            </w:r>
          </w:p>
        </w:tc>
      </w:tr>
      <w:tr>
        <w:tblPrEx>
          <w:tblCellMar>
            <w:top w:w="0" w:type="dxa"/>
            <w:left w:w="108" w:type="dxa"/>
            <w:bottom w:w="0" w:type="dxa"/>
            <w:right w:w="108" w:type="dxa"/>
          </w:tblCellMar>
        </w:tblPrEx>
        <w:trPr>
          <w:wBefore w:w="0" w:type="dxa"/>
          <w:wAfter w:w="0" w:type="dxa"/>
          <w:trHeight w:val="502" w:hRule="atLeast"/>
        </w:trPr>
        <w:tc>
          <w:tcPr>
            <w:tcW w:w="20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自评质量</w:t>
            </w:r>
          </w:p>
        </w:tc>
        <w:tc>
          <w:tcPr>
            <w:tcW w:w="177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自评质量</w:t>
            </w:r>
          </w:p>
        </w:tc>
        <w:tc>
          <w:tcPr>
            <w:tcW w:w="1780"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自评准确</w:t>
            </w:r>
          </w:p>
        </w:tc>
        <w:tc>
          <w:tcPr>
            <w:tcW w:w="177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w:t>
            </w:r>
          </w:p>
        </w:tc>
        <w:tc>
          <w:tcPr>
            <w:tcW w:w="1776"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9</w:t>
            </w:r>
          </w:p>
        </w:tc>
      </w:tr>
      <w:tr>
        <w:tblPrEx>
          <w:tblCellMar>
            <w:top w:w="0" w:type="dxa"/>
            <w:left w:w="108" w:type="dxa"/>
            <w:bottom w:w="0" w:type="dxa"/>
            <w:right w:w="108" w:type="dxa"/>
          </w:tblCellMar>
        </w:tblPrEx>
        <w:trPr>
          <w:wBefore w:w="0" w:type="dxa"/>
          <w:wAfter w:w="0" w:type="dxa"/>
          <w:trHeight w:val="511" w:hRule="atLeast"/>
        </w:trPr>
        <w:tc>
          <w:tcPr>
            <w:tcW w:w="5627"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合计</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100</w:t>
            </w:r>
          </w:p>
        </w:tc>
        <w:tc>
          <w:tcPr>
            <w:tcW w:w="177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exact"/>
              <w:jc w:val="center"/>
              <w:textAlignment w:val="center"/>
              <w:rPr>
                <w:rFonts w:hint="eastAsia" w:ascii="宋体" w:hAnsi="宋体" w:eastAsia="宋体" w:cs="宋体"/>
                <w:color w:val="000000"/>
                <w:kern w:val="0"/>
                <w:sz w:val="24"/>
                <w:lang w:bidi="ar"/>
              </w:rPr>
            </w:pPr>
            <w:r>
              <w:rPr>
                <w:rFonts w:hint="eastAsia" w:ascii="宋体" w:hAnsi="宋体" w:eastAsia="宋体" w:cs="宋体"/>
                <w:color w:val="000000"/>
                <w:kern w:val="0"/>
                <w:sz w:val="24"/>
                <w:lang w:bidi="ar"/>
              </w:rPr>
              <w:t>92</w:t>
            </w:r>
          </w:p>
        </w:tc>
      </w:tr>
    </w:tbl>
    <w:p>
      <w:pPr>
        <w:overflowPunct w:val="0"/>
        <w:topLinePunct/>
        <w:spacing w:line="620" w:lineRule="exact"/>
        <w:ind w:firstLine="646" w:firstLineChars="200"/>
        <w:rPr>
          <w:rFonts w:hint="eastAsia" w:ascii="楷体_GB2312" w:eastAsia="楷体_GB2312"/>
        </w:rPr>
      </w:pPr>
      <w:r>
        <w:rPr>
          <w:rFonts w:hint="eastAsia" w:ascii="楷体_GB2312" w:eastAsia="楷体_GB2312"/>
        </w:rPr>
        <w:t>（三）存在问题。</w:t>
      </w:r>
    </w:p>
    <w:p>
      <w:pPr>
        <w:overflowPunct w:val="0"/>
        <w:topLinePunct/>
        <w:spacing w:line="620" w:lineRule="exact"/>
        <w:ind w:firstLine="646" w:firstLineChars="200"/>
        <w:rPr>
          <w:rFonts w:hint="eastAsia"/>
        </w:rPr>
      </w:pPr>
      <w:r>
        <w:rPr>
          <w:rFonts w:hint="eastAsia"/>
        </w:rPr>
        <w:t>1. 中心人员较少，绩效管理组织保障不够，导致部分工作缺位，人员身兼数职。</w:t>
      </w:r>
    </w:p>
    <w:p>
      <w:pPr>
        <w:overflowPunct w:val="0"/>
        <w:topLinePunct/>
        <w:spacing w:line="620" w:lineRule="exact"/>
        <w:ind w:firstLine="646" w:firstLineChars="200"/>
        <w:rPr>
          <w:rFonts w:hint="eastAsia"/>
        </w:rPr>
      </w:pPr>
      <w:r>
        <w:rPr>
          <w:rFonts w:hint="eastAsia"/>
        </w:rPr>
        <w:t>2. 部门预算绩效管理工作情况未按管理要求进行相关宣传。</w:t>
      </w:r>
    </w:p>
    <w:p>
      <w:pPr>
        <w:overflowPunct w:val="0"/>
        <w:topLinePunct/>
        <w:spacing w:line="620" w:lineRule="exact"/>
        <w:ind w:firstLine="646" w:firstLineChars="200"/>
        <w:rPr>
          <w:rFonts w:hint="eastAsia"/>
        </w:rPr>
      </w:pPr>
      <w:r>
        <w:rPr>
          <w:rFonts w:hint="eastAsia"/>
        </w:rPr>
        <w:t>3. 绩效管理未能动态监控，缺乏绩效跟踪。</w:t>
      </w:r>
    </w:p>
    <w:p>
      <w:pPr>
        <w:overflowPunct w:val="0"/>
        <w:topLinePunct/>
        <w:spacing w:line="620" w:lineRule="exact"/>
        <w:ind w:firstLine="646" w:firstLineChars="200"/>
        <w:rPr>
          <w:rFonts w:hint="eastAsia" w:ascii="楷体_GB2312" w:eastAsia="楷体_GB2312"/>
        </w:rPr>
      </w:pPr>
      <w:r>
        <w:rPr>
          <w:rFonts w:hint="eastAsia" w:ascii="楷体_GB2312" w:eastAsia="楷体_GB2312"/>
        </w:rPr>
        <w:t>（四）改进建议。</w:t>
      </w:r>
    </w:p>
    <w:p>
      <w:pPr>
        <w:overflowPunct w:val="0"/>
        <w:topLinePunct/>
        <w:spacing w:line="620" w:lineRule="exact"/>
        <w:ind w:firstLine="646" w:firstLineChars="200"/>
        <w:rPr>
          <w:rFonts w:hint="eastAsia"/>
        </w:rPr>
      </w:pPr>
      <w:r>
        <w:rPr>
          <w:rFonts w:hint="eastAsia"/>
        </w:rPr>
        <w:t>1. 针对本次部门绩效管理工作2020年度考核自评存在的不足，我中心将根据市财政局预算绩效管理目标要求及时落实来年事中预算绩效监控管理目标责任，积极宣传预算绩效管理工作情况，努力实现全面绩效管理目标。</w:t>
      </w:r>
    </w:p>
    <w:p>
      <w:pPr>
        <w:overflowPunct w:val="0"/>
        <w:topLinePunct/>
        <w:spacing w:line="620" w:lineRule="exact"/>
        <w:ind w:firstLine="646" w:firstLineChars="200"/>
        <w:rPr>
          <w:rFonts w:hint="eastAsia"/>
        </w:rPr>
      </w:pPr>
      <w:r>
        <w:rPr>
          <w:rFonts w:hint="eastAsia"/>
        </w:rPr>
        <w:t>2. 优化绩效管理工作，简化程序，细化绩效指标体系，结合工作实际情况，科学设定切实可行的绩效目标，加强绩效监控，建立健全动态监控机制，及时总结经验，注重绩效结果运用。</w:t>
      </w:r>
    </w:p>
    <w:p>
      <w:pPr>
        <w:overflowPunct w:val="0"/>
        <w:topLinePunct/>
        <w:spacing w:line="620" w:lineRule="exact"/>
        <w:ind w:firstLine="646" w:firstLineChars="200"/>
      </w:pPr>
      <w:r>
        <w:rPr>
          <w:rFonts w:hint="eastAsia"/>
        </w:rPr>
        <w:t>3. 建议分行业、分领域、分部门制定预算绩效管理参照模板，便于各预算单位参考。</w:t>
      </w:r>
    </w:p>
    <w:p>
      <w:pPr>
        <w:overflowPunct w:val="0"/>
        <w:topLinePunct/>
        <w:spacing w:line="620" w:lineRule="exact"/>
        <w:ind w:firstLine="646" w:firstLineChars="200"/>
      </w:pPr>
    </w:p>
    <w:p>
      <w:pPr>
        <w:pStyle w:val="3"/>
        <w:spacing w:before="0" w:after="0" w:line="620" w:lineRule="exact"/>
        <w:rPr>
          <w:rStyle w:val="18"/>
          <w:rFonts w:hint="eastAsia" w:ascii="黑体" w:hAnsi="黑体" w:eastAsia="黑体"/>
        </w:rPr>
      </w:pPr>
      <w:r>
        <w:br w:type="page"/>
      </w:r>
      <w:bookmarkStart w:id="46" w:name="_Toc80282386"/>
      <w:r>
        <w:rPr>
          <w:rStyle w:val="18"/>
          <w:rFonts w:hint="eastAsia" w:ascii="黑体" w:hAnsi="黑体" w:eastAsia="黑体"/>
        </w:rPr>
        <w:t>附件2</w:t>
      </w:r>
      <w:bookmarkEnd w:id="46"/>
    </w:p>
    <w:p>
      <w:pPr>
        <w:overflowPunct w:val="0"/>
        <w:topLinePunct/>
        <w:spacing w:line="620" w:lineRule="exact"/>
        <w:ind w:firstLine="646" w:firstLineChars="200"/>
      </w:pPr>
    </w:p>
    <w:p>
      <w:pPr>
        <w:overflowPunct w:val="0"/>
        <w:topLinePunct/>
        <w:spacing w:line="620" w:lineRule="exact"/>
        <w:jc w:val="center"/>
        <w:rPr>
          <w:rFonts w:hint="eastAsia" w:ascii="方正小标宋简体" w:eastAsia="方正小标宋简体"/>
          <w:sz w:val="44"/>
          <w:szCs w:val="44"/>
        </w:rPr>
      </w:pPr>
      <w:r>
        <w:rPr>
          <w:rFonts w:hint="eastAsia" w:ascii="方正小标宋简体" w:eastAsia="方正小标宋简体"/>
          <w:sz w:val="44"/>
          <w:szCs w:val="44"/>
        </w:rPr>
        <w:t>工本费项目2020年绩效评价报告</w:t>
      </w:r>
    </w:p>
    <w:p>
      <w:pPr>
        <w:overflowPunct w:val="0"/>
        <w:topLinePunct/>
        <w:spacing w:line="620" w:lineRule="exact"/>
        <w:ind w:firstLine="646" w:firstLineChars="200"/>
      </w:pPr>
    </w:p>
    <w:p>
      <w:pPr>
        <w:overflowPunct w:val="0"/>
        <w:topLinePunct/>
        <w:spacing w:line="620" w:lineRule="exact"/>
        <w:ind w:firstLine="646" w:firstLineChars="200"/>
        <w:rPr>
          <w:rFonts w:hint="eastAsia" w:ascii="黑体" w:hAnsi="黑体" w:eastAsia="黑体"/>
        </w:rPr>
      </w:pPr>
      <w:r>
        <w:rPr>
          <w:rFonts w:hint="eastAsia" w:ascii="黑体" w:hAnsi="黑体" w:eastAsia="黑体"/>
        </w:rPr>
        <w:t>一、项目概况</w:t>
      </w:r>
    </w:p>
    <w:p>
      <w:pPr>
        <w:overflowPunct w:val="0"/>
        <w:topLinePunct/>
        <w:spacing w:line="620" w:lineRule="exact"/>
        <w:ind w:firstLine="646" w:firstLineChars="200"/>
        <w:rPr>
          <w:rFonts w:hint="eastAsia" w:ascii="楷体_GB2312" w:eastAsia="楷体_GB2312"/>
        </w:rPr>
      </w:pPr>
      <w:r>
        <w:rPr>
          <w:rFonts w:hint="eastAsia" w:ascii="楷体_GB2312" w:eastAsia="楷体_GB2312"/>
        </w:rPr>
        <w:t>（一）项目基本情况。</w:t>
      </w:r>
    </w:p>
    <w:p>
      <w:pPr>
        <w:overflowPunct w:val="0"/>
        <w:topLinePunct/>
        <w:spacing w:line="620" w:lineRule="exact"/>
        <w:ind w:firstLine="646" w:firstLineChars="200"/>
        <w:rPr>
          <w:rFonts w:hint="eastAsia"/>
          <w:b/>
        </w:rPr>
      </w:pPr>
      <w:r>
        <w:rPr>
          <w:rFonts w:hint="eastAsia"/>
          <w:b/>
        </w:rPr>
        <w:t>1．说明项目主管部门（单位）在该项目管理中的职能。</w:t>
      </w:r>
    </w:p>
    <w:p>
      <w:pPr>
        <w:overflowPunct w:val="0"/>
        <w:topLinePunct/>
        <w:spacing w:line="620" w:lineRule="exact"/>
        <w:ind w:firstLine="646" w:firstLineChars="200"/>
        <w:rPr>
          <w:rFonts w:hint="eastAsia"/>
        </w:rPr>
      </w:pPr>
      <w:r>
        <w:rPr>
          <w:rFonts w:hint="eastAsia"/>
        </w:rPr>
        <w:t>确保了我市政府非税收入征收管理顺利开展，有序推进财政票据发放工作。</w:t>
      </w:r>
    </w:p>
    <w:p>
      <w:pPr>
        <w:overflowPunct w:val="0"/>
        <w:topLinePunct/>
        <w:spacing w:line="620" w:lineRule="exact"/>
        <w:ind w:firstLine="646" w:firstLineChars="200"/>
        <w:rPr>
          <w:rFonts w:hint="eastAsia"/>
          <w:b/>
        </w:rPr>
      </w:pPr>
      <w:r>
        <w:rPr>
          <w:rFonts w:hint="eastAsia"/>
          <w:b/>
        </w:rPr>
        <w:t>2. 项目立项、资金申报的依据。</w:t>
      </w:r>
    </w:p>
    <w:p>
      <w:pPr>
        <w:overflowPunct w:val="0"/>
        <w:topLinePunct/>
        <w:spacing w:line="620" w:lineRule="exact"/>
        <w:ind w:firstLine="646" w:firstLineChars="200"/>
        <w:rPr>
          <w:rFonts w:hint="eastAsia"/>
        </w:rPr>
      </w:pPr>
      <w:r>
        <w:rPr>
          <w:rFonts w:hint="eastAsia"/>
        </w:rPr>
        <w:t>根据《遂宁市财政局关于开展2020年部门、项目、政策支出绩效自评工作的通知》（遂财绩〔2021〕3号）要求，我中心组织项目部对预算批复中涉及的项目支出开展自评工作。根据项目特点设计符合项目评价要求的评价指标体系及评价方法。通过指标评价并打分，总结项目管理经验及存在的问题，为来年预算编制的完整和准确提供依据。</w:t>
      </w:r>
    </w:p>
    <w:p>
      <w:pPr>
        <w:overflowPunct w:val="0"/>
        <w:topLinePunct/>
        <w:spacing w:line="620" w:lineRule="exact"/>
        <w:ind w:firstLine="646" w:firstLineChars="200"/>
        <w:rPr>
          <w:rFonts w:hint="eastAsia"/>
          <w:b/>
        </w:rPr>
      </w:pPr>
      <w:r>
        <w:rPr>
          <w:rFonts w:hint="eastAsia"/>
          <w:b/>
        </w:rPr>
        <w:t>3. 资金管理办法制定情况，资金支持具体项目的条件、范围与支持方式概况。</w:t>
      </w:r>
    </w:p>
    <w:p>
      <w:pPr>
        <w:overflowPunct w:val="0"/>
        <w:topLinePunct/>
        <w:spacing w:line="620" w:lineRule="exact"/>
        <w:ind w:firstLine="646" w:firstLineChars="200"/>
        <w:rPr>
          <w:rFonts w:hint="eastAsia"/>
        </w:rPr>
      </w:pPr>
      <w:r>
        <w:rPr>
          <w:rFonts w:hint="eastAsia"/>
        </w:rPr>
        <w:t>2020年申报、批复“工本费”项目50万元。用于购买财政非税票据。</w:t>
      </w:r>
    </w:p>
    <w:p>
      <w:pPr>
        <w:overflowPunct w:val="0"/>
        <w:topLinePunct/>
        <w:spacing w:line="620" w:lineRule="exact"/>
        <w:ind w:firstLine="646" w:firstLineChars="200"/>
        <w:rPr>
          <w:rFonts w:hint="eastAsia"/>
          <w:b/>
        </w:rPr>
      </w:pPr>
      <w:r>
        <w:rPr>
          <w:rFonts w:hint="eastAsia"/>
          <w:b/>
        </w:rPr>
        <w:t>4. 资金分配的原则及考虑因素。</w:t>
      </w:r>
    </w:p>
    <w:p>
      <w:pPr>
        <w:overflowPunct w:val="0"/>
        <w:topLinePunct/>
        <w:spacing w:line="620" w:lineRule="exact"/>
        <w:ind w:firstLine="646" w:firstLineChars="200"/>
        <w:rPr>
          <w:rFonts w:hint="eastAsia"/>
        </w:rPr>
      </w:pPr>
      <w:r>
        <w:rPr>
          <w:rFonts w:hint="eastAsia"/>
        </w:rPr>
        <w:t>“工本费”50万元，全部用于票据购买。</w:t>
      </w:r>
    </w:p>
    <w:p>
      <w:pPr>
        <w:overflowPunct w:val="0"/>
        <w:topLinePunct/>
        <w:spacing w:line="620" w:lineRule="exact"/>
        <w:ind w:firstLine="646" w:firstLineChars="200"/>
        <w:rPr>
          <w:rFonts w:hint="eastAsia" w:ascii="楷体_GB2312" w:eastAsia="楷体_GB2312"/>
        </w:rPr>
      </w:pPr>
      <w:r>
        <w:rPr>
          <w:rFonts w:hint="eastAsia" w:ascii="楷体_GB2312" w:eastAsia="楷体_GB2312"/>
        </w:rPr>
        <w:t>（二）项目绩效目标。</w:t>
      </w:r>
    </w:p>
    <w:p>
      <w:pPr>
        <w:overflowPunct w:val="0"/>
        <w:topLinePunct/>
        <w:spacing w:line="620" w:lineRule="exact"/>
        <w:ind w:firstLine="646" w:firstLineChars="200"/>
        <w:rPr>
          <w:rFonts w:hint="eastAsia"/>
          <w:b/>
        </w:rPr>
      </w:pPr>
      <w:r>
        <w:rPr>
          <w:rFonts w:hint="eastAsia"/>
          <w:b/>
        </w:rPr>
        <w:t>1．项目主要内容。</w:t>
      </w:r>
    </w:p>
    <w:p>
      <w:pPr>
        <w:overflowPunct w:val="0"/>
        <w:topLinePunct/>
        <w:spacing w:line="620" w:lineRule="exact"/>
        <w:ind w:firstLine="646" w:firstLineChars="200"/>
        <w:rPr>
          <w:rFonts w:hint="eastAsia"/>
        </w:rPr>
      </w:pPr>
      <w:r>
        <w:rPr>
          <w:rFonts w:hint="eastAsia"/>
        </w:rPr>
        <w:t>每个季度准时向下征收票据计划，向上上报票据征订计划。准确、有效。我中心通过绩效自评，进一步规范项目资金管理，强化部门责任意识，提高项目资金使用效益。</w:t>
      </w:r>
    </w:p>
    <w:p>
      <w:pPr>
        <w:overflowPunct w:val="0"/>
        <w:topLinePunct/>
        <w:spacing w:line="620" w:lineRule="exact"/>
        <w:ind w:firstLine="646" w:firstLineChars="200"/>
        <w:rPr>
          <w:rFonts w:hint="eastAsia"/>
          <w:b/>
        </w:rPr>
      </w:pPr>
      <w:r>
        <w:rPr>
          <w:rFonts w:hint="eastAsia"/>
          <w:b/>
        </w:rPr>
        <w:t>2. 项目应实现的具体绩效目标，包括目标的量化、细化情况以及项目实施进度计划等。</w:t>
      </w:r>
    </w:p>
    <w:p>
      <w:pPr>
        <w:overflowPunct w:val="0"/>
        <w:topLinePunct/>
        <w:spacing w:line="620" w:lineRule="exact"/>
        <w:ind w:firstLine="646" w:firstLineChars="200"/>
        <w:rPr>
          <w:rFonts w:hint="eastAsia"/>
        </w:rPr>
      </w:pPr>
      <w:r>
        <w:rPr>
          <w:rFonts w:hint="eastAsia"/>
        </w:rPr>
        <w:t>纸质票据收入：票据收入持续运行在合理区间，完成财政收入应收尽收。2020年发出的票据工本费为301212.94元，全年共计核销票据1294358份，收到的非税收入金及代管资金金额为150021392.63元。</w:t>
      </w:r>
    </w:p>
    <w:p>
      <w:pPr>
        <w:overflowPunct w:val="0"/>
        <w:topLinePunct/>
        <w:spacing w:line="620" w:lineRule="exact"/>
        <w:ind w:firstLine="646" w:firstLineChars="200"/>
        <w:rPr>
          <w:rFonts w:hint="eastAsia"/>
        </w:rPr>
      </w:pPr>
      <w:r>
        <w:rPr>
          <w:rFonts w:hint="eastAsia"/>
        </w:rPr>
        <w:t>电子票据改革：推广改革电子票据上线，其中市本级医疗机构9家、学校10家、其他领域用票单位108家电子票据上线。各区县（市）电子票据改革共计931家。</w:t>
      </w:r>
    </w:p>
    <w:p>
      <w:pPr>
        <w:overflowPunct w:val="0"/>
        <w:topLinePunct/>
        <w:spacing w:line="620" w:lineRule="exact"/>
        <w:ind w:firstLine="646" w:firstLineChars="200"/>
        <w:rPr>
          <w:rFonts w:hint="eastAsia"/>
        </w:rPr>
      </w:pPr>
      <w:r>
        <w:rPr>
          <w:rFonts w:hint="eastAsia"/>
        </w:rPr>
        <w:t>完成情况：我中心有序的向各区县各用票单位发放财政票据，满足使用需求，各用票单位满意度达100%。工作完成率预期完成100%，实际完成100%。</w:t>
      </w:r>
    </w:p>
    <w:p>
      <w:pPr>
        <w:overflowPunct w:val="0"/>
        <w:topLinePunct/>
        <w:spacing w:line="620" w:lineRule="exact"/>
        <w:ind w:firstLine="646" w:firstLineChars="200"/>
        <w:rPr>
          <w:rFonts w:hint="eastAsia"/>
          <w:b/>
        </w:rPr>
      </w:pPr>
      <w:r>
        <w:rPr>
          <w:rFonts w:hint="eastAsia"/>
          <w:b/>
        </w:rPr>
        <w:t>3. 分析评价申报内容是否与实际相符，申报目标是否合理可行。</w:t>
      </w:r>
    </w:p>
    <w:p>
      <w:pPr>
        <w:overflowPunct w:val="0"/>
        <w:topLinePunct/>
        <w:spacing w:line="620" w:lineRule="exact"/>
        <w:ind w:firstLine="646" w:firstLineChars="200"/>
        <w:rPr>
          <w:rFonts w:hint="eastAsia"/>
        </w:rPr>
      </w:pPr>
      <w:r>
        <w:rPr>
          <w:rFonts w:hint="eastAsia"/>
        </w:rPr>
        <w:t>申报内容科学、有效与实际相符。申报目标合理可行。</w:t>
      </w:r>
    </w:p>
    <w:p>
      <w:pPr>
        <w:overflowPunct w:val="0"/>
        <w:topLinePunct/>
        <w:spacing w:line="620" w:lineRule="exact"/>
        <w:ind w:firstLine="646" w:firstLineChars="200"/>
        <w:rPr>
          <w:rFonts w:hint="eastAsia" w:ascii="楷体_GB2312" w:eastAsia="楷体_GB2312"/>
        </w:rPr>
      </w:pPr>
      <w:r>
        <w:rPr>
          <w:rFonts w:hint="eastAsia" w:ascii="楷体_GB2312" w:eastAsia="楷体_GB2312"/>
        </w:rPr>
        <w:t>（三）项目自评步骤及方法。</w:t>
      </w:r>
    </w:p>
    <w:p>
      <w:pPr>
        <w:overflowPunct w:val="0"/>
        <w:topLinePunct/>
        <w:spacing w:line="620" w:lineRule="exact"/>
        <w:ind w:firstLine="646" w:firstLineChars="200"/>
        <w:rPr>
          <w:rFonts w:hint="eastAsia"/>
        </w:rPr>
      </w:pPr>
      <w:r>
        <w:rPr>
          <w:rFonts w:hint="eastAsia"/>
        </w:rPr>
        <w:t>采用评分式自评。</w:t>
      </w:r>
    </w:p>
    <w:p>
      <w:pPr>
        <w:overflowPunct w:val="0"/>
        <w:topLinePunct/>
        <w:spacing w:line="620" w:lineRule="exact"/>
        <w:ind w:firstLine="646" w:firstLineChars="200"/>
        <w:rPr>
          <w:rFonts w:hint="eastAsia" w:ascii="黑体" w:hAnsi="黑体" w:eastAsia="黑体"/>
        </w:rPr>
      </w:pPr>
      <w:r>
        <w:rPr>
          <w:rFonts w:hint="eastAsia" w:ascii="黑体" w:hAnsi="黑体" w:eastAsia="黑体"/>
        </w:rPr>
        <w:t>二、项目资金申报及使用情况</w:t>
      </w:r>
    </w:p>
    <w:p>
      <w:pPr>
        <w:overflowPunct w:val="0"/>
        <w:topLinePunct/>
        <w:spacing w:line="620" w:lineRule="exact"/>
        <w:ind w:firstLine="646" w:firstLineChars="200"/>
        <w:rPr>
          <w:rFonts w:hint="eastAsia" w:ascii="楷体_GB2312" w:eastAsia="楷体_GB2312"/>
        </w:rPr>
      </w:pPr>
      <w:r>
        <w:rPr>
          <w:rFonts w:hint="eastAsia" w:ascii="楷体_GB2312" w:eastAsia="楷体_GB2312"/>
        </w:rPr>
        <w:t>（一）项目资金申报及批复情况。</w:t>
      </w:r>
    </w:p>
    <w:p>
      <w:pPr>
        <w:overflowPunct w:val="0"/>
        <w:topLinePunct/>
        <w:spacing w:line="620" w:lineRule="exact"/>
        <w:ind w:firstLine="646" w:firstLineChars="200"/>
        <w:rPr>
          <w:rFonts w:hint="eastAsia"/>
        </w:rPr>
      </w:pPr>
      <w:r>
        <w:rPr>
          <w:rFonts w:hint="eastAsia"/>
        </w:rPr>
        <w:t>2020年申报、批复“工本费”项目50万元，批复金额为50万元。实际使用50万元。完成率100%。</w:t>
      </w:r>
    </w:p>
    <w:p>
      <w:pPr>
        <w:overflowPunct w:val="0"/>
        <w:topLinePunct/>
        <w:spacing w:line="620" w:lineRule="exact"/>
        <w:ind w:firstLine="646" w:firstLineChars="200"/>
        <w:rPr>
          <w:rFonts w:hint="eastAsia" w:ascii="楷体_GB2312" w:eastAsia="楷体_GB2312"/>
        </w:rPr>
      </w:pPr>
      <w:r>
        <w:rPr>
          <w:rFonts w:hint="eastAsia" w:ascii="楷体_GB2312" w:eastAsia="楷体_GB2312"/>
        </w:rPr>
        <w:t>（二）资金计划、到位及使用情况（可用表格形式反映）。</w:t>
      </w:r>
    </w:p>
    <w:p>
      <w:pPr>
        <w:overflowPunct w:val="0"/>
        <w:topLinePunct/>
        <w:spacing w:line="620" w:lineRule="exact"/>
        <w:ind w:firstLine="646" w:firstLineChars="200"/>
        <w:rPr>
          <w:rFonts w:hint="eastAsia"/>
          <w:b/>
        </w:rPr>
      </w:pPr>
      <w:r>
        <w:rPr>
          <w:rFonts w:hint="eastAsia"/>
          <w:b/>
        </w:rPr>
        <w:t>1．资金计划。</w:t>
      </w:r>
    </w:p>
    <w:p>
      <w:pPr>
        <w:overflowPunct w:val="0"/>
        <w:topLinePunct/>
        <w:spacing w:line="620" w:lineRule="exact"/>
        <w:ind w:firstLine="646" w:firstLineChars="200"/>
        <w:rPr>
          <w:rFonts w:hint="eastAsia"/>
        </w:rPr>
      </w:pPr>
      <w:r>
        <w:rPr>
          <w:rFonts w:hint="eastAsia"/>
        </w:rPr>
        <w:t>“工本费”项目50万元均为一般财政拨款。</w:t>
      </w:r>
    </w:p>
    <w:p>
      <w:pPr>
        <w:overflowPunct w:val="0"/>
        <w:topLinePunct/>
        <w:spacing w:line="620" w:lineRule="exact"/>
        <w:ind w:firstLine="646" w:firstLineChars="200"/>
        <w:rPr>
          <w:rFonts w:hint="eastAsia"/>
          <w:b/>
        </w:rPr>
      </w:pPr>
      <w:r>
        <w:rPr>
          <w:rFonts w:hint="eastAsia"/>
          <w:b/>
        </w:rPr>
        <w:t xml:space="preserve">2. 资金到位。 </w:t>
      </w:r>
    </w:p>
    <w:p>
      <w:pPr>
        <w:overflowPunct w:val="0"/>
        <w:topLinePunct/>
        <w:spacing w:line="620" w:lineRule="exact"/>
        <w:ind w:firstLine="646" w:firstLineChars="200"/>
        <w:rPr>
          <w:rFonts w:hint="eastAsia"/>
        </w:rPr>
      </w:pPr>
      <w:r>
        <w:rPr>
          <w:rFonts w:hint="eastAsia"/>
        </w:rPr>
        <w:t>资金一次性到位，到位及时。</w:t>
      </w:r>
    </w:p>
    <w:p>
      <w:pPr>
        <w:overflowPunct w:val="0"/>
        <w:topLinePunct/>
        <w:spacing w:line="620" w:lineRule="exact"/>
        <w:ind w:firstLine="646" w:firstLineChars="200"/>
        <w:rPr>
          <w:rFonts w:hint="eastAsia"/>
          <w:b/>
        </w:rPr>
      </w:pPr>
      <w:r>
        <w:rPr>
          <w:rFonts w:hint="eastAsia"/>
          <w:b/>
        </w:rPr>
        <w:t>3. 资金使用。</w:t>
      </w:r>
    </w:p>
    <w:p>
      <w:pPr>
        <w:overflowPunct w:val="0"/>
        <w:topLinePunct/>
        <w:spacing w:line="620" w:lineRule="exact"/>
        <w:ind w:firstLine="646" w:firstLineChars="200"/>
        <w:rPr>
          <w:rFonts w:hint="eastAsia"/>
        </w:rPr>
      </w:pPr>
      <w:r>
        <w:rPr>
          <w:rFonts w:hint="eastAsia"/>
        </w:rPr>
        <w:t>资金使用与计划相符，根据票据申报计划进度实报实销。</w:t>
      </w:r>
    </w:p>
    <w:p>
      <w:pPr>
        <w:overflowPunct w:val="0"/>
        <w:topLinePunct/>
        <w:spacing w:line="620" w:lineRule="exact"/>
        <w:ind w:firstLine="646" w:firstLineChars="200"/>
        <w:rPr>
          <w:rFonts w:hint="eastAsia" w:ascii="楷体_GB2312" w:eastAsia="楷体_GB2312"/>
        </w:rPr>
      </w:pPr>
      <w:r>
        <w:rPr>
          <w:rFonts w:hint="eastAsia" w:ascii="楷体_GB2312" w:eastAsia="楷体_GB2312"/>
        </w:rPr>
        <w:t>（三）项目财务管理情况。</w:t>
      </w:r>
    </w:p>
    <w:p>
      <w:pPr>
        <w:overflowPunct w:val="0"/>
        <w:topLinePunct/>
        <w:spacing w:line="620" w:lineRule="exact"/>
        <w:ind w:firstLine="646" w:firstLineChars="200"/>
        <w:rPr>
          <w:rFonts w:hint="eastAsia"/>
        </w:rPr>
      </w:pPr>
      <w:r>
        <w:rPr>
          <w:rFonts w:hint="eastAsia"/>
        </w:rPr>
        <w:t>总体评价各项目实施单位财务管理制度健全，票据管理工作有规可依、有章可循。严格按照票据管理办法管理票据领、用、销。票据严格执行财务管理制度，账务处理及时，会计核算规范。</w:t>
      </w:r>
    </w:p>
    <w:p>
      <w:pPr>
        <w:overflowPunct w:val="0"/>
        <w:topLinePunct/>
        <w:spacing w:line="620" w:lineRule="exact"/>
        <w:ind w:firstLine="646" w:firstLineChars="200"/>
        <w:rPr>
          <w:rFonts w:hint="eastAsia" w:ascii="黑体" w:hAnsi="黑体" w:eastAsia="黑体"/>
        </w:rPr>
      </w:pPr>
      <w:r>
        <w:rPr>
          <w:rFonts w:hint="eastAsia" w:ascii="黑体" w:hAnsi="黑体" w:eastAsia="黑体"/>
        </w:rPr>
        <w:t>三</w:t>
      </w:r>
      <w:r>
        <w:rPr>
          <w:rFonts w:ascii="黑体" w:hAnsi="黑体" w:eastAsia="黑体"/>
        </w:rPr>
        <w:t>、</w:t>
      </w:r>
      <w:r>
        <w:rPr>
          <w:rFonts w:hint="eastAsia" w:ascii="黑体" w:hAnsi="黑体" w:eastAsia="黑体"/>
        </w:rPr>
        <w:t>项目实施及管理情况</w:t>
      </w:r>
    </w:p>
    <w:p>
      <w:pPr>
        <w:overflowPunct w:val="0"/>
        <w:topLinePunct/>
        <w:spacing w:line="620" w:lineRule="exact"/>
        <w:ind w:firstLine="646" w:firstLineChars="200"/>
        <w:rPr>
          <w:rFonts w:hint="eastAsia"/>
        </w:rPr>
      </w:pPr>
      <w:r>
        <w:rPr>
          <w:rFonts w:hint="eastAsia"/>
        </w:rPr>
        <w:t>结合项目组织实施管理办法，重点围绕以下内容进行分析评价，并对自评中发现的问题分析说明。</w:t>
      </w:r>
    </w:p>
    <w:p>
      <w:pPr>
        <w:overflowPunct w:val="0"/>
        <w:topLinePunct/>
        <w:spacing w:line="620" w:lineRule="exact"/>
        <w:ind w:firstLine="646" w:firstLineChars="200"/>
        <w:rPr>
          <w:rFonts w:hint="eastAsia" w:ascii="楷体_GB2312" w:eastAsia="楷体_GB2312"/>
        </w:rPr>
      </w:pPr>
      <w:r>
        <w:rPr>
          <w:rFonts w:hint="eastAsia" w:ascii="楷体_GB2312" w:eastAsia="楷体_GB2312"/>
        </w:rPr>
        <w:t>（一）项目组织架构及实施流程。</w:t>
      </w:r>
    </w:p>
    <w:p>
      <w:pPr>
        <w:overflowPunct w:val="0"/>
        <w:topLinePunct/>
        <w:spacing w:line="620" w:lineRule="exact"/>
        <w:ind w:firstLine="646" w:firstLineChars="200"/>
        <w:rPr>
          <w:rFonts w:hint="eastAsia"/>
        </w:rPr>
      </w:pPr>
      <w:r>
        <w:rPr>
          <w:rFonts w:hint="eastAsia"/>
        </w:rPr>
        <w:t>50万全部用于纸质票据购买，实施流程：根据区县和市本级实际情况申报票据计划--向省上上报--省上批复票据计划--发放财政非税票据--根据发票报销票据工本费（每个季度一次）</w:t>
      </w:r>
    </w:p>
    <w:p>
      <w:pPr>
        <w:overflowPunct w:val="0"/>
        <w:topLinePunct/>
        <w:spacing w:line="620" w:lineRule="exact"/>
        <w:ind w:firstLine="646" w:firstLineChars="200"/>
        <w:rPr>
          <w:rFonts w:hint="eastAsia" w:ascii="楷体_GB2312" w:eastAsia="楷体_GB2312"/>
        </w:rPr>
      </w:pPr>
      <w:r>
        <w:rPr>
          <w:rFonts w:hint="eastAsia" w:ascii="楷体_GB2312" w:eastAsia="楷体_GB2312"/>
        </w:rPr>
        <w:t>（二）项目管理情况。</w:t>
      </w:r>
    </w:p>
    <w:p>
      <w:pPr>
        <w:overflowPunct w:val="0"/>
        <w:topLinePunct/>
        <w:spacing w:line="620" w:lineRule="exact"/>
        <w:ind w:firstLine="646" w:firstLineChars="200"/>
        <w:rPr>
          <w:rFonts w:hint="eastAsia"/>
        </w:rPr>
      </w:pPr>
      <w:r>
        <w:rPr>
          <w:rFonts w:hint="eastAsia"/>
        </w:rPr>
        <w:t>根据财政厅《票据管理办法》严格按照票据管理办法管理票据。</w:t>
      </w:r>
    </w:p>
    <w:p>
      <w:pPr>
        <w:overflowPunct w:val="0"/>
        <w:topLinePunct/>
        <w:spacing w:line="620" w:lineRule="exact"/>
        <w:ind w:firstLine="646" w:firstLineChars="200"/>
        <w:rPr>
          <w:rFonts w:hint="eastAsia" w:ascii="楷体_GB2312" w:eastAsia="楷体_GB2312"/>
        </w:rPr>
      </w:pPr>
      <w:r>
        <w:rPr>
          <w:rFonts w:hint="eastAsia" w:ascii="楷体_GB2312" w:eastAsia="楷体_GB2312"/>
        </w:rPr>
        <w:t>（三）项目监管情况。</w:t>
      </w:r>
    </w:p>
    <w:p>
      <w:pPr>
        <w:overflowPunct w:val="0"/>
        <w:topLinePunct/>
        <w:spacing w:line="620" w:lineRule="exact"/>
        <w:ind w:firstLine="646" w:firstLineChars="200"/>
        <w:rPr>
          <w:rFonts w:hint="eastAsia"/>
        </w:rPr>
      </w:pPr>
      <w:r>
        <w:rPr>
          <w:rFonts w:hint="eastAsia"/>
        </w:rPr>
        <w:t>聘请票据技术审核人员专人负责票据工本费监管，领、用、销。通过票据规范管理，票据使用主体单位责任感和主体意识得到增强。</w:t>
      </w:r>
    </w:p>
    <w:p>
      <w:pPr>
        <w:overflowPunct w:val="0"/>
        <w:topLinePunct/>
        <w:spacing w:line="620" w:lineRule="exact"/>
        <w:ind w:firstLine="646" w:firstLineChars="200"/>
        <w:rPr>
          <w:rFonts w:hint="eastAsia" w:ascii="黑体" w:hAnsi="黑体" w:eastAsia="黑体"/>
        </w:rPr>
      </w:pPr>
      <w:r>
        <w:rPr>
          <w:rFonts w:hint="eastAsia" w:ascii="黑体" w:hAnsi="黑体" w:eastAsia="黑体"/>
        </w:rPr>
        <w:t>四、项目绩效情况</w:t>
      </w:r>
      <w:r>
        <w:rPr>
          <w:rFonts w:hint="eastAsia" w:ascii="黑体" w:hAnsi="黑体" w:eastAsia="黑体"/>
        </w:rPr>
        <w:tab/>
      </w:r>
    </w:p>
    <w:p>
      <w:pPr>
        <w:overflowPunct w:val="0"/>
        <w:topLinePunct/>
        <w:spacing w:line="620" w:lineRule="exact"/>
        <w:ind w:firstLine="646" w:firstLineChars="200"/>
        <w:rPr>
          <w:rFonts w:hint="eastAsia" w:ascii="楷体_GB2312" w:eastAsia="楷体_GB2312"/>
        </w:rPr>
      </w:pPr>
      <w:r>
        <w:rPr>
          <w:rFonts w:hint="eastAsia" w:ascii="楷体_GB2312" w:eastAsia="楷体_GB2312"/>
        </w:rPr>
        <w:t>（一）项目完成情况。</w:t>
      </w:r>
    </w:p>
    <w:p>
      <w:pPr>
        <w:overflowPunct w:val="0"/>
        <w:topLinePunct/>
        <w:spacing w:line="620" w:lineRule="exact"/>
        <w:ind w:firstLine="646" w:firstLineChars="200"/>
        <w:rPr>
          <w:rFonts w:hint="eastAsia"/>
        </w:rPr>
      </w:pPr>
      <w:r>
        <w:rPr>
          <w:rFonts w:hint="eastAsia"/>
        </w:rPr>
        <w:t>100%完成项目，各用票单位好评率100%、</w:t>
      </w:r>
    </w:p>
    <w:p>
      <w:pPr>
        <w:overflowPunct w:val="0"/>
        <w:topLinePunct/>
        <w:spacing w:line="620" w:lineRule="exact"/>
        <w:ind w:firstLine="646" w:firstLineChars="200"/>
        <w:rPr>
          <w:rFonts w:hint="eastAsia" w:ascii="楷体_GB2312" w:eastAsia="楷体_GB2312"/>
        </w:rPr>
      </w:pPr>
      <w:r>
        <w:rPr>
          <w:rFonts w:hint="eastAsia" w:ascii="楷体_GB2312" w:eastAsia="楷体_GB2312"/>
        </w:rPr>
        <w:t>（二）项目效益情况。</w:t>
      </w:r>
    </w:p>
    <w:p>
      <w:pPr>
        <w:overflowPunct w:val="0"/>
        <w:topLinePunct/>
        <w:spacing w:line="620" w:lineRule="exact"/>
        <w:ind w:firstLine="646" w:firstLineChars="200"/>
        <w:rPr>
          <w:rFonts w:hint="eastAsia"/>
        </w:rPr>
      </w:pPr>
      <w:r>
        <w:rPr>
          <w:rFonts w:hint="eastAsia"/>
        </w:rPr>
        <w:t>确保了我市政府非税收入征收管理顺利开展，有序推进财政纸质票据发放工作。通过电子票据的推广、改革，学校、医院电子票据上线率提高，人民生活更为便捷，缩短人民排队等候时间。</w:t>
      </w:r>
    </w:p>
    <w:p>
      <w:pPr>
        <w:overflowPunct w:val="0"/>
        <w:topLinePunct/>
        <w:spacing w:line="620" w:lineRule="exact"/>
        <w:ind w:firstLine="646" w:firstLineChars="200"/>
        <w:rPr>
          <w:rFonts w:hint="eastAsia" w:ascii="黑体" w:hAnsi="黑体" w:eastAsia="黑体"/>
        </w:rPr>
      </w:pPr>
      <w:r>
        <w:rPr>
          <w:rFonts w:hint="eastAsia" w:ascii="黑体" w:hAnsi="黑体" w:eastAsia="黑体"/>
        </w:rPr>
        <w:t>五、评价结论及建议</w:t>
      </w:r>
    </w:p>
    <w:p>
      <w:pPr>
        <w:overflowPunct w:val="0"/>
        <w:topLinePunct/>
        <w:spacing w:line="620" w:lineRule="exact"/>
        <w:ind w:firstLine="646" w:firstLineChars="200"/>
        <w:rPr>
          <w:rFonts w:hint="eastAsia" w:ascii="楷体_GB2312" w:eastAsia="楷体_GB2312"/>
        </w:rPr>
      </w:pPr>
      <w:r>
        <w:rPr>
          <w:rFonts w:hint="eastAsia" w:ascii="楷体_GB2312" w:eastAsia="楷体_GB2312"/>
        </w:rPr>
        <w:t>（一）评价结论。</w:t>
      </w:r>
    </w:p>
    <w:p>
      <w:pPr>
        <w:overflowPunct w:val="0"/>
        <w:topLinePunct/>
        <w:spacing w:line="620" w:lineRule="exact"/>
        <w:ind w:firstLine="646" w:firstLineChars="200"/>
        <w:rPr>
          <w:rFonts w:hint="eastAsia"/>
        </w:rPr>
      </w:pPr>
      <w:r>
        <w:rPr>
          <w:rFonts w:hint="eastAsia"/>
        </w:rPr>
        <w:t>因制定计划合理有效，年度征订箱数完成率达100%。项目完成率高，社会效益高。</w:t>
      </w:r>
    </w:p>
    <w:p>
      <w:pPr>
        <w:overflowPunct w:val="0"/>
        <w:topLinePunct/>
        <w:spacing w:line="620" w:lineRule="exact"/>
        <w:ind w:firstLine="646" w:firstLineChars="200"/>
        <w:rPr>
          <w:rFonts w:hint="eastAsia" w:ascii="楷体_GB2312" w:eastAsia="楷体_GB2312"/>
        </w:rPr>
      </w:pPr>
      <w:r>
        <w:rPr>
          <w:rFonts w:hint="eastAsia" w:ascii="楷体_GB2312" w:eastAsia="楷体_GB2312"/>
        </w:rPr>
        <w:t>（二）存在的问题。</w:t>
      </w:r>
    </w:p>
    <w:p>
      <w:pPr>
        <w:overflowPunct w:val="0"/>
        <w:topLinePunct/>
        <w:spacing w:line="620" w:lineRule="exact"/>
        <w:ind w:firstLine="646" w:firstLineChars="200"/>
        <w:rPr>
          <w:rFonts w:hint="eastAsia"/>
        </w:rPr>
      </w:pPr>
      <w:r>
        <w:rPr>
          <w:rFonts w:hint="eastAsia"/>
        </w:rPr>
        <w:t>电子票据普及率过低，还应加大宣传培训工作力度。同时要与改革先进市州地区积极交流，学习先进经验，共同推进财政电子票据管理改革。熟练财政电子票据操作系统，充分发挥系统功能，节约开票时间和运行成本，确保改革任务如期完成。</w:t>
      </w:r>
      <w:r>
        <w:rPr>
          <w:rFonts w:hint="eastAsia"/>
        </w:rPr>
        <w:tab/>
      </w:r>
    </w:p>
    <w:p>
      <w:pPr>
        <w:overflowPunct w:val="0"/>
        <w:topLinePunct/>
        <w:spacing w:line="620" w:lineRule="exact"/>
        <w:ind w:firstLine="646" w:firstLineChars="200"/>
        <w:rPr>
          <w:rFonts w:hint="eastAsia" w:ascii="楷体_GB2312" w:eastAsia="楷体_GB2312"/>
        </w:rPr>
      </w:pPr>
      <w:r>
        <w:rPr>
          <w:rFonts w:hint="eastAsia" w:ascii="楷体_GB2312" w:eastAsia="楷体_GB2312"/>
        </w:rPr>
        <w:t>（三）相关建议。</w:t>
      </w:r>
    </w:p>
    <w:p>
      <w:pPr>
        <w:overflowPunct w:val="0"/>
        <w:topLinePunct/>
        <w:spacing w:line="620" w:lineRule="exact"/>
        <w:ind w:firstLine="646" w:firstLineChars="200"/>
        <w:rPr>
          <w:rFonts w:hint="eastAsia"/>
        </w:rPr>
      </w:pPr>
      <w:r>
        <w:rPr>
          <w:rFonts w:hint="eastAsia"/>
        </w:rPr>
        <w:t>领导加强重视、推进全市票据电子化全面上线。</w:t>
      </w:r>
    </w:p>
    <w:p>
      <w:pPr>
        <w:overflowPunct w:val="0"/>
        <w:topLinePunct/>
        <w:spacing w:line="620" w:lineRule="exact"/>
        <w:ind w:firstLine="646" w:firstLineChars="200"/>
      </w:pPr>
    </w:p>
    <w:p>
      <w:pPr>
        <w:pStyle w:val="3"/>
        <w:spacing w:before="0" w:after="0" w:line="620" w:lineRule="exact"/>
        <w:rPr>
          <w:rStyle w:val="18"/>
          <w:rFonts w:ascii="黑体" w:hAnsi="黑体" w:eastAsia="黑体"/>
        </w:rPr>
      </w:pPr>
      <w:r>
        <w:br w:type="page"/>
      </w:r>
      <w:bookmarkStart w:id="47" w:name="_Toc80282387"/>
      <w:r>
        <w:rPr>
          <w:rStyle w:val="18"/>
          <w:rFonts w:hint="eastAsia" w:ascii="黑体" w:hAnsi="黑体" w:eastAsia="黑体"/>
        </w:rPr>
        <w:t>附件2-1</w:t>
      </w:r>
      <w:bookmarkEnd w:id="47"/>
    </w:p>
    <w:p>
      <w:pPr>
        <w:overflowPunct w:val="0"/>
        <w:topLinePunct/>
        <w:spacing w:line="620" w:lineRule="exact"/>
        <w:ind w:firstLine="646" w:firstLineChars="200"/>
      </w:pPr>
    </w:p>
    <w:p>
      <w:pPr>
        <w:overflowPunct w:val="0"/>
        <w:topLinePunct/>
        <w:spacing w:line="620" w:lineRule="exact"/>
        <w:jc w:val="center"/>
        <w:rPr>
          <w:rFonts w:hint="eastAsia" w:ascii="方正小标宋简体" w:eastAsia="方正小标宋简体"/>
          <w:sz w:val="44"/>
          <w:szCs w:val="44"/>
        </w:rPr>
      </w:pPr>
      <w:r>
        <w:rPr>
          <w:rFonts w:hint="eastAsia" w:ascii="方正小标宋简体" w:eastAsia="方正小标宋简体"/>
          <w:sz w:val="44"/>
          <w:szCs w:val="44"/>
        </w:rPr>
        <w:t>票据技术审核经费项目</w:t>
      </w:r>
    </w:p>
    <w:p>
      <w:pPr>
        <w:overflowPunct w:val="0"/>
        <w:topLinePunct/>
        <w:spacing w:line="620" w:lineRule="exact"/>
        <w:jc w:val="center"/>
        <w:rPr>
          <w:rFonts w:hint="eastAsia" w:ascii="方正小标宋简体" w:eastAsia="方正小标宋简体"/>
          <w:sz w:val="44"/>
          <w:szCs w:val="44"/>
        </w:rPr>
      </w:pPr>
      <w:r>
        <w:rPr>
          <w:rFonts w:hint="eastAsia" w:ascii="方正小标宋简体" w:eastAsia="方正小标宋简体"/>
          <w:sz w:val="44"/>
          <w:szCs w:val="44"/>
        </w:rPr>
        <w:t>2020年绩效评价报告</w:t>
      </w:r>
    </w:p>
    <w:p>
      <w:pPr>
        <w:overflowPunct w:val="0"/>
        <w:topLinePunct/>
        <w:spacing w:line="620" w:lineRule="exact"/>
        <w:ind w:firstLine="646" w:firstLineChars="200"/>
      </w:pPr>
    </w:p>
    <w:p>
      <w:pPr>
        <w:overflowPunct w:val="0"/>
        <w:topLinePunct/>
        <w:spacing w:line="620" w:lineRule="exact"/>
        <w:ind w:firstLine="646" w:firstLineChars="200"/>
        <w:rPr>
          <w:rFonts w:hint="eastAsia" w:ascii="黑体" w:hAnsi="黑体" w:eastAsia="黑体"/>
        </w:rPr>
      </w:pPr>
      <w:r>
        <w:rPr>
          <w:rFonts w:hint="eastAsia" w:ascii="黑体" w:hAnsi="黑体" w:eastAsia="黑体"/>
        </w:rPr>
        <w:t>一、项目概况</w:t>
      </w:r>
    </w:p>
    <w:p>
      <w:pPr>
        <w:overflowPunct w:val="0"/>
        <w:topLinePunct/>
        <w:spacing w:line="620" w:lineRule="exact"/>
        <w:ind w:firstLine="646" w:firstLineChars="200"/>
        <w:rPr>
          <w:rFonts w:hint="eastAsia" w:ascii="楷体_GB2312" w:eastAsia="楷体_GB2312"/>
        </w:rPr>
      </w:pPr>
      <w:r>
        <w:rPr>
          <w:rFonts w:hint="eastAsia" w:ascii="楷体_GB2312" w:eastAsia="楷体_GB2312"/>
        </w:rPr>
        <w:t>（一）项目基本情况。</w:t>
      </w:r>
    </w:p>
    <w:p>
      <w:pPr>
        <w:overflowPunct w:val="0"/>
        <w:topLinePunct/>
        <w:spacing w:line="620" w:lineRule="exact"/>
        <w:ind w:firstLine="646" w:firstLineChars="200"/>
        <w:rPr>
          <w:rFonts w:hint="eastAsia"/>
          <w:b/>
        </w:rPr>
      </w:pPr>
      <w:r>
        <w:rPr>
          <w:rFonts w:hint="eastAsia"/>
          <w:b/>
        </w:rPr>
        <w:t>1．说明项目主管部门（单位）在该项目管理中的职能。</w:t>
      </w:r>
    </w:p>
    <w:p>
      <w:pPr>
        <w:overflowPunct w:val="0"/>
        <w:topLinePunct/>
        <w:spacing w:line="620" w:lineRule="exact"/>
        <w:ind w:firstLine="646" w:firstLineChars="200"/>
        <w:rPr>
          <w:rFonts w:hint="eastAsia"/>
        </w:rPr>
      </w:pPr>
      <w:r>
        <w:rPr>
          <w:rFonts w:hint="eastAsia"/>
        </w:rPr>
        <w:t>用于票据技术审核人员经费发放，票据技术审核人员专管票据领、用、销。</w:t>
      </w:r>
    </w:p>
    <w:p>
      <w:pPr>
        <w:overflowPunct w:val="0"/>
        <w:topLinePunct/>
        <w:spacing w:line="620" w:lineRule="exact"/>
        <w:ind w:firstLine="646" w:firstLineChars="200"/>
        <w:rPr>
          <w:rFonts w:hint="eastAsia"/>
          <w:b/>
        </w:rPr>
      </w:pPr>
      <w:r>
        <w:rPr>
          <w:rFonts w:hint="eastAsia"/>
          <w:b/>
        </w:rPr>
        <w:t>2. 项目立项、资金申报的依据。</w:t>
      </w:r>
    </w:p>
    <w:p>
      <w:pPr>
        <w:overflowPunct w:val="0"/>
        <w:topLinePunct/>
        <w:spacing w:line="620" w:lineRule="exact"/>
        <w:ind w:firstLine="646" w:firstLineChars="200"/>
        <w:rPr>
          <w:rFonts w:hint="eastAsia"/>
        </w:rPr>
      </w:pPr>
      <w:r>
        <w:rPr>
          <w:rFonts w:hint="eastAsia"/>
        </w:rPr>
        <w:t>根据《遂宁市财政局关于开展2020年部门、项目、政策支出绩效自评工作的通知》（遂财绩〔2021〕3号）要求，我中心组织项目部对预算批复中涉及的项目支出开展自评工作。根据项目特点设计符合项目评价要求的评价指标体系及评价方法。通过指标评价并打分，总结项目管理经验及存在的问题，为来年预算编制的完整和准确提供依据。</w:t>
      </w:r>
    </w:p>
    <w:p>
      <w:pPr>
        <w:overflowPunct w:val="0"/>
        <w:topLinePunct/>
        <w:spacing w:line="620" w:lineRule="exact"/>
        <w:ind w:firstLine="646" w:firstLineChars="200"/>
        <w:rPr>
          <w:rFonts w:hint="eastAsia"/>
          <w:b/>
        </w:rPr>
      </w:pPr>
      <w:r>
        <w:rPr>
          <w:rFonts w:hint="eastAsia"/>
          <w:b/>
        </w:rPr>
        <w:t>3. 资金管理办法制定情况，资金支持具体项目的条件、范围与支持方式概况。</w:t>
      </w:r>
    </w:p>
    <w:p>
      <w:pPr>
        <w:overflowPunct w:val="0"/>
        <w:topLinePunct/>
        <w:spacing w:line="620" w:lineRule="exact"/>
        <w:ind w:firstLine="646" w:firstLineChars="200"/>
        <w:rPr>
          <w:rFonts w:hint="eastAsia"/>
        </w:rPr>
      </w:pPr>
      <w:r>
        <w:rPr>
          <w:rFonts w:hint="eastAsia"/>
        </w:rPr>
        <w:t>“票据技术审核经费”项目22万元，预算内容为票管中心技术审核服务费。</w:t>
      </w:r>
    </w:p>
    <w:p>
      <w:pPr>
        <w:overflowPunct w:val="0"/>
        <w:topLinePunct/>
        <w:spacing w:line="620" w:lineRule="exact"/>
        <w:ind w:firstLine="646" w:firstLineChars="200"/>
        <w:rPr>
          <w:rFonts w:hint="eastAsia"/>
          <w:b/>
        </w:rPr>
      </w:pPr>
      <w:r>
        <w:rPr>
          <w:rFonts w:hint="eastAsia"/>
          <w:b/>
        </w:rPr>
        <w:t>4. 资金分配的原则及考虑因素。</w:t>
      </w:r>
    </w:p>
    <w:p>
      <w:pPr>
        <w:overflowPunct w:val="0"/>
        <w:topLinePunct/>
        <w:spacing w:line="620" w:lineRule="exact"/>
        <w:ind w:firstLine="646" w:firstLineChars="200"/>
        <w:rPr>
          <w:rFonts w:hint="eastAsia"/>
        </w:rPr>
      </w:pPr>
      <w:r>
        <w:rPr>
          <w:rFonts w:hint="eastAsia"/>
        </w:rPr>
        <w:t>根据专款专用原则，22万元全部用于票据技术审核经费。</w:t>
      </w:r>
    </w:p>
    <w:p>
      <w:pPr>
        <w:overflowPunct w:val="0"/>
        <w:topLinePunct/>
        <w:spacing w:line="620" w:lineRule="exact"/>
        <w:ind w:firstLine="646" w:firstLineChars="200"/>
        <w:rPr>
          <w:rFonts w:hint="eastAsia" w:ascii="楷体_GB2312" w:eastAsia="楷体_GB2312"/>
        </w:rPr>
      </w:pPr>
      <w:r>
        <w:rPr>
          <w:rFonts w:hint="eastAsia" w:ascii="楷体_GB2312" w:eastAsia="楷体_GB2312"/>
        </w:rPr>
        <w:t>（二）项目绩效目标。</w:t>
      </w:r>
    </w:p>
    <w:p>
      <w:pPr>
        <w:overflowPunct w:val="0"/>
        <w:topLinePunct/>
        <w:spacing w:line="620" w:lineRule="exact"/>
        <w:ind w:firstLine="646" w:firstLineChars="200"/>
        <w:rPr>
          <w:rFonts w:hint="eastAsia"/>
          <w:b/>
        </w:rPr>
      </w:pPr>
      <w:r>
        <w:rPr>
          <w:rFonts w:hint="eastAsia"/>
          <w:b/>
        </w:rPr>
        <w:t>1．项目主要内容。</w:t>
      </w:r>
    </w:p>
    <w:p>
      <w:pPr>
        <w:overflowPunct w:val="0"/>
        <w:topLinePunct/>
        <w:spacing w:line="620" w:lineRule="exact"/>
        <w:ind w:firstLine="646" w:firstLineChars="200"/>
        <w:rPr>
          <w:rFonts w:hint="eastAsia"/>
        </w:rPr>
      </w:pPr>
      <w:r>
        <w:rPr>
          <w:rFonts w:hint="eastAsia"/>
        </w:rPr>
        <w:t>审核人员严格按照票据管理办法执行，强化财政票据源头管理、做好领、用、核环节,实行制度化管理。所有票据按序摆放，并且做好防盗、防潮、防火、防虫等各项措施以确保票据安全工作万无一失。</w:t>
      </w:r>
    </w:p>
    <w:p>
      <w:pPr>
        <w:overflowPunct w:val="0"/>
        <w:topLinePunct/>
        <w:spacing w:line="620" w:lineRule="exact"/>
        <w:ind w:firstLine="646" w:firstLineChars="200"/>
        <w:rPr>
          <w:rFonts w:hint="eastAsia"/>
          <w:b/>
        </w:rPr>
      </w:pPr>
      <w:r>
        <w:rPr>
          <w:rFonts w:hint="eastAsia"/>
          <w:b/>
        </w:rPr>
        <w:t>2. 项目应实现的具体绩效目标，包括目标的量化、细化情况以及项目实施进度计划等。</w:t>
      </w:r>
    </w:p>
    <w:p>
      <w:pPr>
        <w:overflowPunct w:val="0"/>
        <w:topLinePunct/>
        <w:spacing w:line="620" w:lineRule="exact"/>
        <w:ind w:firstLine="646" w:firstLineChars="200"/>
        <w:rPr>
          <w:rFonts w:hint="eastAsia"/>
        </w:rPr>
      </w:pPr>
      <w:r>
        <w:rPr>
          <w:rFonts w:hint="eastAsia"/>
        </w:rPr>
        <w:t>票据技术审核人员严格把控票据监管职能，达到全市票据使用无风险，不违规。</w:t>
      </w:r>
    </w:p>
    <w:p>
      <w:pPr>
        <w:overflowPunct w:val="0"/>
        <w:topLinePunct/>
        <w:spacing w:line="620" w:lineRule="exact"/>
        <w:ind w:firstLine="646" w:firstLineChars="200"/>
        <w:rPr>
          <w:rFonts w:hint="eastAsia"/>
          <w:b/>
        </w:rPr>
      </w:pPr>
      <w:r>
        <w:rPr>
          <w:rFonts w:hint="eastAsia"/>
          <w:b/>
        </w:rPr>
        <w:t>3. 分析评价申报内容是否与实际相符，申报目标是否合理可行。</w:t>
      </w:r>
    </w:p>
    <w:p>
      <w:pPr>
        <w:overflowPunct w:val="0"/>
        <w:topLinePunct/>
        <w:spacing w:line="620" w:lineRule="exact"/>
        <w:ind w:firstLine="646" w:firstLineChars="200"/>
        <w:rPr>
          <w:rFonts w:hint="eastAsia"/>
        </w:rPr>
      </w:pPr>
      <w:r>
        <w:rPr>
          <w:rFonts w:hint="eastAsia"/>
        </w:rPr>
        <w:t>项目目标申报科学合理，与实际相符。项目目标申报科学合理，根据绩效目标管理要求落实及时</w:t>
      </w:r>
    </w:p>
    <w:p>
      <w:pPr>
        <w:overflowPunct w:val="0"/>
        <w:topLinePunct/>
        <w:spacing w:line="620" w:lineRule="exact"/>
        <w:ind w:firstLine="646" w:firstLineChars="200"/>
        <w:rPr>
          <w:rFonts w:hint="eastAsia" w:ascii="楷体_GB2312" w:eastAsia="楷体_GB2312"/>
        </w:rPr>
      </w:pPr>
      <w:r>
        <w:rPr>
          <w:rFonts w:hint="eastAsia" w:ascii="楷体_GB2312" w:eastAsia="楷体_GB2312"/>
        </w:rPr>
        <w:t>（三）项目自评步骤及方法。</w:t>
      </w:r>
    </w:p>
    <w:p>
      <w:pPr>
        <w:overflowPunct w:val="0"/>
        <w:topLinePunct/>
        <w:spacing w:line="620" w:lineRule="exact"/>
        <w:ind w:firstLine="646" w:firstLineChars="200"/>
        <w:rPr>
          <w:rFonts w:hint="eastAsia"/>
        </w:rPr>
      </w:pPr>
      <w:r>
        <w:rPr>
          <w:rFonts w:hint="eastAsia"/>
        </w:rPr>
        <w:t>说明项目绩效自评采用的组织实施步骤及方法。</w:t>
      </w:r>
    </w:p>
    <w:p>
      <w:pPr>
        <w:overflowPunct w:val="0"/>
        <w:topLinePunct/>
        <w:spacing w:line="620" w:lineRule="exact"/>
        <w:ind w:firstLine="646" w:firstLineChars="200"/>
        <w:rPr>
          <w:rFonts w:hint="eastAsia"/>
        </w:rPr>
      </w:pPr>
      <w:r>
        <w:rPr>
          <w:rFonts w:hint="eastAsia"/>
        </w:rPr>
        <w:t>项目自评方式为评分式</w:t>
      </w:r>
    </w:p>
    <w:p>
      <w:pPr>
        <w:overflowPunct w:val="0"/>
        <w:topLinePunct/>
        <w:spacing w:line="620" w:lineRule="exact"/>
        <w:ind w:firstLine="646" w:firstLineChars="200"/>
        <w:rPr>
          <w:rFonts w:hint="eastAsia" w:ascii="黑体" w:hAnsi="黑体" w:eastAsia="黑体"/>
        </w:rPr>
      </w:pPr>
      <w:r>
        <w:rPr>
          <w:rFonts w:hint="eastAsia" w:ascii="黑体" w:hAnsi="黑体" w:eastAsia="黑体"/>
        </w:rPr>
        <w:t>二、项目资金申报及使用情况</w:t>
      </w:r>
    </w:p>
    <w:p>
      <w:pPr>
        <w:overflowPunct w:val="0"/>
        <w:topLinePunct/>
        <w:spacing w:line="620" w:lineRule="exact"/>
        <w:ind w:firstLine="646" w:firstLineChars="200"/>
        <w:rPr>
          <w:rFonts w:hint="eastAsia" w:ascii="楷体_GB2312" w:eastAsia="楷体_GB2312"/>
        </w:rPr>
      </w:pPr>
      <w:r>
        <w:rPr>
          <w:rFonts w:hint="eastAsia" w:ascii="楷体_GB2312" w:eastAsia="楷体_GB2312"/>
        </w:rPr>
        <w:t>（一）项目资金申报及批复情况。</w:t>
      </w:r>
    </w:p>
    <w:p>
      <w:pPr>
        <w:overflowPunct w:val="0"/>
        <w:topLinePunct/>
        <w:spacing w:line="620" w:lineRule="exact"/>
        <w:ind w:firstLine="646" w:firstLineChars="200"/>
        <w:rPr>
          <w:rFonts w:hint="eastAsia"/>
        </w:rPr>
      </w:pPr>
      <w:r>
        <w:rPr>
          <w:rFonts w:hint="eastAsia"/>
        </w:rPr>
        <w:t>资金申报22万元，实际批复22万元。后期预算无调整。</w:t>
      </w:r>
    </w:p>
    <w:p>
      <w:pPr>
        <w:overflowPunct w:val="0"/>
        <w:topLinePunct/>
        <w:spacing w:line="620" w:lineRule="exact"/>
        <w:ind w:firstLine="646" w:firstLineChars="200"/>
        <w:rPr>
          <w:rFonts w:hint="eastAsia" w:ascii="楷体_GB2312" w:eastAsia="楷体_GB2312"/>
        </w:rPr>
      </w:pPr>
      <w:r>
        <w:rPr>
          <w:rFonts w:hint="eastAsia" w:ascii="楷体_GB2312" w:eastAsia="楷体_GB2312"/>
        </w:rPr>
        <w:t>（二）资金计划、到位及使用情况（可用表格形式反映）。</w:t>
      </w:r>
    </w:p>
    <w:p>
      <w:pPr>
        <w:overflowPunct w:val="0"/>
        <w:topLinePunct/>
        <w:spacing w:line="620" w:lineRule="exact"/>
        <w:ind w:firstLine="646" w:firstLineChars="200"/>
        <w:rPr>
          <w:rFonts w:hint="eastAsia"/>
          <w:b/>
        </w:rPr>
      </w:pPr>
      <w:r>
        <w:rPr>
          <w:rFonts w:hint="eastAsia"/>
          <w:b/>
        </w:rPr>
        <w:t>1．资金计划。</w:t>
      </w:r>
    </w:p>
    <w:p>
      <w:pPr>
        <w:overflowPunct w:val="0"/>
        <w:topLinePunct/>
        <w:spacing w:line="620" w:lineRule="exact"/>
        <w:ind w:firstLine="646" w:firstLineChars="200"/>
        <w:rPr>
          <w:rFonts w:hint="eastAsia"/>
        </w:rPr>
      </w:pPr>
      <w:r>
        <w:rPr>
          <w:rFonts w:hint="eastAsia"/>
        </w:rPr>
        <w:t>由财政拨款22万元。</w:t>
      </w:r>
    </w:p>
    <w:p>
      <w:pPr>
        <w:overflowPunct w:val="0"/>
        <w:topLinePunct/>
        <w:spacing w:line="620" w:lineRule="exact"/>
        <w:ind w:firstLine="646" w:firstLineChars="200"/>
        <w:rPr>
          <w:rFonts w:hint="eastAsia"/>
          <w:b/>
        </w:rPr>
      </w:pPr>
      <w:r>
        <w:rPr>
          <w:rFonts w:hint="eastAsia"/>
          <w:b/>
        </w:rPr>
        <w:t>2. 资金到位。</w:t>
      </w:r>
    </w:p>
    <w:p>
      <w:pPr>
        <w:overflowPunct w:val="0"/>
        <w:topLinePunct/>
        <w:spacing w:line="620" w:lineRule="exact"/>
        <w:ind w:firstLine="646" w:firstLineChars="200"/>
        <w:rPr>
          <w:rFonts w:hint="eastAsia"/>
        </w:rPr>
      </w:pPr>
      <w:r>
        <w:rPr>
          <w:rFonts w:hint="eastAsia"/>
        </w:rPr>
        <w:t>预算22万元，资金一次性到位。</w:t>
      </w:r>
    </w:p>
    <w:p>
      <w:pPr>
        <w:overflowPunct w:val="0"/>
        <w:topLinePunct/>
        <w:spacing w:line="620" w:lineRule="exact"/>
        <w:ind w:firstLine="646" w:firstLineChars="200"/>
        <w:rPr>
          <w:rFonts w:hint="eastAsia"/>
          <w:b/>
        </w:rPr>
      </w:pPr>
      <w:r>
        <w:rPr>
          <w:b/>
        </w:rPr>
        <w:t>3</w:t>
      </w:r>
      <w:r>
        <w:rPr>
          <w:rFonts w:hint="eastAsia"/>
          <w:b/>
        </w:rPr>
        <w:t>. 资金使用。</w:t>
      </w:r>
    </w:p>
    <w:p>
      <w:pPr>
        <w:overflowPunct w:val="0"/>
        <w:topLinePunct/>
        <w:spacing w:line="620" w:lineRule="exact"/>
        <w:ind w:firstLine="646" w:firstLineChars="200"/>
        <w:rPr>
          <w:rFonts w:hint="eastAsia"/>
        </w:rPr>
      </w:pPr>
      <w:r>
        <w:rPr>
          <w:rFonts w:hint="eastAsia"/>
        </w:rPr>
        <w:t>根据票据技术审核人员绩效，年底一次性付清。</w:t>
      </w:r>
    </w:p>
    <w:p>
      <w:pPr>
        <w:overflowPunct w:val="0"/>
        <w:topLinePunct/>
        <w:spacing w:line="620" w:lineRule="exact"/>
        <w:ind w:firstLine="646" w:firstLineChars="200"/>
        <w:rPr>
          <w:rFonts w:hint="eastAsia" w:ascii="楷体_GB2312" w:eastAsia="楷体_GB2312"/>
        </w:rPr>
      </w:pPr>
      <w:r>
        <w:rPr>
          <w:rFonts w:hint="eastAsia" w:ascii="楷体_GB2312" w:eastAsia="楷体_GB2312"/>
        </w:rPr>
        <w:t>（三）项目财务管理情况。</w:t>
      </w:r>
    </w:p>
    <w:p>
      <w:pPr>
        <w:overflowPunct w:val="0"/>
        <w:topLinePunct/>
        <w:spacing w:line="620" w:lineRule="exact"/>
        <w:ind w:firstLine="646" w:firstLineChars="200"/>
        <w:rPr>
          <w:rFonts w:hint="eastAsia"/>
        </w:rPr>
      </w:pPr>
      <w:r>
        <w:rPr>
          <w:rFonts w:hint="eastAsia"/>
        </w:rPr>
        <w:t>总体评价各项目实施单位财务管理制度健全，严格执行财务管理制度，账务处理及时，会计核算规范。</w:t>
      </w:r>
    </w:p>
    <w:p>
      <w:pPr>
        <w:overflowPunct w:val="0"/>
        <w:topLinePunct/>
        <w:spacing w:line="620" w:lineRule="exact"/>
        <w:ind w:firstLine="646" w:firstLineChars="200"/>
        <w:rPr>
          <w:rFonts w:hint="eastAsia" w:ascii="黑体" w:hAnsi="黑体" w:eastAsia="黑体"/>
        </w:rPr>
      </w:pPr>
      <w:r>
        <w:rPr>
          <w:rFonts w:hint="eastAsia" w:ascii="黑体" w:hAnsi="黑体" w:eastAsia="黑体"/>
        </w:rPr>
        <w:t>三、项目实施及管理情况</w:t>
      </w:r>
    </w:p>
    <w:p>
      <w:pPr>
        <w:overflowPunct w:val="0"/>
        <w:topLinePunct/>
        <w:spacing w:line="620" w:lineRule="exact"/>
        <w:ind w:firstLine="646" w:firstLineChars="200"/>
        <w:rPr>
          <w:rFonts w:hint="eastAsia"/>
        </w:rPr>
      </w:pPr>
      <w:r>
        <w:rPr>
          <w:rFonts w:hint="eastAsia"/>
        </w:rPr>
        <w:t>结合项目组织实施管理办法，重点围绕以下内容进行分析评价，并对自评中发现的问题分析说明。</w:t>
      </w:r>
    </w:p>
    <w:p>
      <w:pPr>
        <w:overflowPunct w:val="0"/>
        <w:topLinePunct/>
        <w:spacing w:line="620" w:lineRule="exact"/>
        <w:ind w:firstLine="646" w:firstLineChars="200"/>
        <w:rPr>
          <w:rFonts w:hint="eastAsia" w:ascii="楷体_GB2312" w:eastAsia="楷体_GB2312"/>
        </w:rPr>
      </w:pPr>
      <w:r>
        <w:rPr>
          <w:rFonts w:hint="eastAsia" w:ascii="楷体_GB2312" w:eastAsia="楷体_GB2312"/>
        </w:rPr>
        <w:t>（一）项目组织架构及实施流程。</w:t>
      </w:r>
    </w:p>
    <w:p>
      <w:pPr>
        <w:overflowPunct w:val="0"/>
        <w:topLinePunct/>
        <w:spacing w:line="620" w:lineRule="exact"/>
        <w:ind w:firstLine="646" w:firstLineChars="200"/>
        <w:rPr>
          <w:rFonts w:hint="eastAsia"/>
        </w:rPr>
      </w:pPr>
      <w:r>
        <w:rPr>
          <w:rFonts w:hint="eastAsia"/>
        </w:rPr>
        <w:t>票据技术审核经费全部款项用于票据技术审核人员审核经费。根据票据技术审核人员全年绩效，考核后，年底一次性付清。</w:t>
      </w:r>
    </w:p>
    <w:p>
      <w:pPr>
        <w:overflowPunct w:val="0"/>
        <w:topLinePunct/>
        <w:spacing w:line="620" w:lineRule="exact"/>
        <w:ind w:firstLine="646" w:firstLineChars="200"/>
        <w:rPr>
          <w:rFonts w:hint="eastAsia" w:ascii="楷体_GB2312" w:eastAsia="楷体_GB2312"/>
        </w:rPr>
      </w:pPr>
      <w:r>
        <w:rPr>
          <w:rFonts w:hint="eastAsia" w:ascii="楷体_GB2312" w:eastAsia="楷体_GB2312"/>
        </w:rPr>
        <w:t>（二）项目管理情况。</w:t>
      </w:r>
    </w:p>
    <w:p>
      <w:pPr>
        <w:overflowPunct w:val="0"/>
        <w:topLinePunct/>
        <w:spacing w:line="620" w:lineRule="exact"/>
        <w:ind w:firstLine="646" w:firstLineChars="200"/>
        <w:rPr>
          <w:rFonts w:hint="eastAsia"/>
        </w:rPr>
      </w:pPr>
      <w:r>
        <w:rPr>
          <w:rFonts w:hint="eastAsia"/>
          <w:b/>
        </w:rPr>
        <w:t>1.</w:t>
      </w:r>
      <w:r>
        <w:rPr>
          <w:b/>
        </w:rPr>
        <w:t xml:space="preserve"> </w:t>
      </w:r>
      <w:r>
        <w:rPr>
          <w:rFonts w:hint="eastAsia"/>
          <w:b/>
        </w:rPr>
        <w:t>分配合理：</w:t>
      </w:r>
      <w:r>
        <w:rPr>
          <w:rFonts w:hint="eastAsia"/>
        </w:rPr>
        <w:t>每季度准时想省上报票据征订计划，时效率达100%。及时有效合理。</w:t>
      </w:r>
    </w:p>
    <w:p>
      <w:pPr>
        <w:overflowPunct w:val="0"/>
        <w:topLinePunct/>
        <w:spacing w:line="620" w:lineRule="exact"/>
        <w:ind w:firstLine="646" w:firstLineChars="200"/>
        <w:rPr>
          <w:rFonts w:hint="eastAsia"/>
        </w:rPr>
      </w:pPr>
      <w:r>
        <w:rPr>
          <w:rFonts w:hint="eastAsia"/>
          <w:b/>
        </w:rPr>
        <w:t>2.</w:t>
      </w:r>
      <w:r>
        <w:rPr>
          <w:b/>
        </w:rPr>
        <w:t xml:space="preserve"> </w:t>
      </w:r>
      <w:r>
        <w:rPr>
          <w:rFonts w:hint="eastAsia"/>
          <w:b/>
        </w:rPr>
        <w:t>使用合规：</w:t>
      </w:r>
      <w:r>
        <w:rPr>
          <w:rFonts w:hint="eastAsia"/>
        </w:rPr>
        <w:t>严把票据入库，确保入库票据的完整性、准确性。</w:t>
      </w:r>
    </w:p>
    <w:p>
      <w:pPr>
        <w:overflowPunct w:val="0"/>
        <w:topLinePunct/>
        <w:spacing w:line="620" w:lineRule="exact"/>
        <w:ind w:firstLine="646" w:firstLineChars="200"/>
        <w:rPr>
          <w:rFonts w:hint="eastAsia"/>
        </w:rPr>
      </w:pPr>
      <w:r>
        <w:rPr>
          <w:rFonts w:hint="eastAsia"/>
          <w:b/>
        </w:rPr>
        <w:t>3.</w:t>
      </w:r>
      <w:r>
        <w:rPr>
          <w:b/>
        </w:rPr>
        <w:t xml:space="preserve"> </w:t>
      </w:r>
      <w:r>
        <w:rPr>
          <w:rFonts w:hint="eastAsia"/>
          <w:b/>
        </w:rPr>
        <w:t>执行有效：</w:t>
      </w:r>
      <w:r>
        <w:rPr>
          <w:rFonts w:hint="eastAsia"/>
        </w:rPr>
        <w:t>有序的向各区县、各用票单位发放财政票据，满足各区县使用财政票据需求。</w:t>
      </w:r>
    </w:p>
    <w:p>
      <w:pPr>
        <w:overflowPunct w:val="0"/>
        <w:topLinePunct/>
        <w:spacing w:line="620" w:lineRule="exact"/>
        <w:ind w:firstLine="646" w:firstLineChars="200"/>
        <w:rPr>
          <w:rFonts w:hint="eastAsia" w:ascii="楷体_GB2312" w:eastAsia="楷体_GB2312"/>
        </w:rPr>
      </w:pPr>
      <w:r>
        <w:rPr>
          <w:rFonts w:hint="eastAsia" w:ascii="楷体_GB2312" w:eastAsia="楷体_GB2312"/>
        </w:rPr>
        <w:t>（三）项目监管情况。</w:t>
      </w:r>
    </w:p>
    <w:p>
      <w:pPr>
        <w:overflowPunct w:val="0"/>
        <w:topLinePunct/>
        <w:spacing w:line="620" w:lineRule="exact"/>
        <w:ind w:firstLine="646" w:firstLineChars="200"/>
        <w:rPr>
          <w:rFonts w:hint="eastAsia"/>
        </w:rPr>
      </w:pPr>
      <w:r>
        <w:rPr>
          <w:rFonts w:hint="eastAsia"/>
        </w:rPr>
        <w:t>说明项目主管部门为加强项目管理所采取的监管手段、监管程序、监管工作开展情况及实现的效果等。</w:t>
      </w:r>
    </w:p>
    <w:p>
      <w:pPr>
        <w:overflowPunct w:val="0"/>
        <w:topLinePunct/>
        <w:spacing w:line="620" w:lineRule="exact"/>
        <w:ind w:firstLine="646" w:firstLineChars="200"/>
        <w:rPr>
          <w:rFonts w:hint="eastAsia" w:ascii="黑体" w:hAnsi="黑体" w:eastAsia="黑体"/>
        </w:rPr>
      </w:pPr>
      <w:r>
        <w:rPr>
          <w:rFonts w:hint="eastAsia" w:ascii="黑体" w:hAnsi="黑体" w:eastAsia="黑体"/>
        </w:rPr>
        <w:t>四、项目绩效情况</w:t>
      </w:r>
      <w:r>
        <w:rPr>
          <w:rFonts w:hint="eastAsia" w:ascii="黑体" w:hAnsi="黑体" w:eastAsia="黑体"/>
        </w:rPr>
        <w:tab/>
      </w:r>
    </w:p>
    <w:p>
      <w:pPr>
        <w:overflowPunct w:val="0"/>
        <w:topLinePunct/>
        <w:spacing w:line="620" w:lineRule="exact"/>
        <w:ind w:firstLine="646" w:firstLineChars="200"/>
        <w:rPr>
          <w:rFonts w:hint="eastAsia" w:ascii="楷体_GB2312" w:eastAsia="楷体_GB2312"/>
        </w:rPr>
      </w:pPr>
      <w:r>
        <w:rPr>
          <w:rFonts w:hint="eastAsia" w:ascii="楷体_GB2312" w:eastAsia="楷体_GB2312"/>
        </w:rPr>
        <w:t>（一）项目完成情况。</w:t>
      </w:r>
    </w:p>
    <w:p>
      <w:pPr>
        <w:overflowPunct w:val="0"/>
        <w:topLinePunct/>
        <w:spacing w:line="620" w:lineRule="exact"/>
        <w:ind w:firstLine="646" w:firstLineChars="200"/>
        <w:rPr>
          <w:rFonts w:hint="eastAsia"/>
        </w:rPr>
      </w:pPr>
      <w:r>
        <w:rPr>
          <w:rFonts w:hint="eastAsia"/>
        </w:rPr>
        <w:t>包括项目完成数量、质量、时效、成本等情况，对照项目计划完成目标，对截止评价时点的任务量完成、质量标准、进度计划、成本控制目标的实现程度进行评价，并进行分析说明。</w:t>
      </w:r>
    </w:p>
    <w:p>
      <w:pPr>
        <w:overflowPunct w:val="0"/>
        <w:topLinePunct/>
        <w:spacing w:line="620" w:lineRule="exact"/>
        <w:ind w:firstLine="646" w:firstLineChars="200"/>
        <w:rPr>
          <w:rFonts w:hint="eastAsia" w:ascii="楷体_GB2312" w:eastAsia="楷体_GB2312"/>
        </w:rPr>
      </w:pPr>
      <w:r>
        <w:rPr>
          <w:rFonts w:hint="eastAsia" w:ascii="楷体_GB2312" w:eastAsia="楷体_GB2312"/>
        </w:rPr>
        <w:t>（二）项目效益情况。</w:t>
      </w:r>
    </w:p>
    <w:p>
      <w:pPr>
        <w:overflowPunct w:val="0"/>
        <w:topLinePunct/>
        <w:spacing w:line="620" w:lineRule="exact"/>
        <w:ind w:firstLine="646" w:firstLineChars="200"/>
        <w:rPr>
          <w:rFonts w:hint="eastAsia"/>
        </w:rPr>
      </w:pPr>
      <w:r>
        <w:rPr>
          <w:rFonts w:hint="eastAsia"/>
          <w:b/>
        </w:rPr>
        <w:t>1.</w:t>
      </w:r>
      <w:r>
        <w:rPr>
          <w:b/>
        </w:rPr>
        <w:t xml:space="preserve"> </w:t>
      </w:r>
      <w:r>
        <w:rPr>
          <w:rFonts w:hint="eastAsia"/>
          <w:b/>
        </w:rPr>
        <w:t>项目效果：</w:t>
      </w:r>
      <w:r>
        <w:rPr>
          <w:rFonts w:hint="eastAsia"/>
        </w:rPr>
        <w:t>确保了我市政府非税收入征收管理顺利开展，有序推进财政票据发放工作。</w:t>
      </w:r>
    </w:p>
    <w:p>
      <w:pPr>
        <w:overflowPunct w:val="0"/>
        <w:topLinePunct/>
        <w:spacing w:line="620" w:lineRule="exact"/>
        <w:ind w:firstLine="646" w:firstLineChars="200"/>
      </w:pPr>
      <w:r>
        <w:rPr>
          <w:rFonts w:hint="eastAsia"/>
          <w:b/>
        </w:rPr>
        <w:t>2.</w:t>
      </w:r>
      <w:r>
        <w:rPr>
          <w:b/>
        </w:rPr>
        <w:t xml:space="preserve"> </w:t>
      </w:r>
      <w:r>
        <w:rPr>
          <w:rFonts w:hint="eastAsia"/>
          <w:b/>
        </w:rPr>
        <w:t>社会效益：</w:t>
      </w:r>
      <w:r>
        <w:rPr>
          <w:rFonts w:hint="eastAsia"/>
        </w:rPr>
        <w:t>我中心有序的向各区县各用票单位发放财政票据，满足使用需求。各用票单位满意度达100%。</w:t>
      </w:r>
    </w:p>
    <w:p>
      <w:pPr>
        <w:overflowPunct w:val="0"/>
        <w:topLinePunct/>
        <w:spacing w:line="620" w:lineRule="exact"/>
        <w:ind w:firstLine="646" w:firstLineChars="200"/>
        <w:rPr>
          <w:rFonts w:hint="eastAsia" w:ascii="黑体" w:hAnsi="黑体" w:eastAsia="黑体"/>
        </w:rPr>
      </w:pPr>
      <w:r>
        <w:rPr>
          <w:rFonts w:hint="eastAsia" w:ascii="黑体" w:hAnsi="黑体" w:eastAsia="黑体"/>
        </w:rPr>
        <w:t>五、评价结论及建议</w:t>
      </w:r>
    </w:p>
    <w:p>
      <w:pPr>
        <w:overflowPunct w:val="0"/>
        <w:topLinePunct/>
        <w:spacing w:line="620" w:lineRule="exact"/>
        <w:ind w:firstLine="646" w:firstLineChars="200"/>
        <w:rPr>
          <w:rFonts w:hint="eastAsia" w:ascii="楷体_GB2312" w:eastAsia="楷体_GB2312"/>
        </w:rPr>
      </w:pPr>
      <w:r>
        <w:rPr>
          <w:rFonts w:hint="eastAsia" w:ascii="楷体_GB2312" w:eastAsia="楷体_GB2312"/>
        </w:rPr>
        <w:t>（一）评价结论。</w:t>
      </w:r>
    </w:p>
    <w:p>
      <w:pPr>
        <w:overflowPunct w:val="0"/>
        <w:topLinePunct/>
        <w:spacing w:line="620" w:lineRule="exact"/>
        <w:ind w:firstLine="646" w:firstLineChars="200"/>
      </w:pPr>
      <w:r>
        <w:rPr>
          <w:rFonts w:hint="eastAsia"/>
        </w:rPr>
        <w:t>全部完成年度计划征订，制定的票据计划合理，指导用票单位正确填写财政票据、节省纸张。且未发生重大事故。</w:t>
      </w:r>
    </w:p>
    <w:p>
      <w:pPr>
        <w:overflowPunct w:val="0"/>
        <w:topLinePunct/>
        <w:spacing w:line="620" w:lineRule="exact"/>
        <w:ind w:firstLine="646" w:firstLineChars="200"/>
        <w:rPr>
          <w:rFonts w:hint="eastAsia" w:ascii="楷体_GB2312" w:eastAsia="楷体_GB2312"/>
        </w:rPr>
      </w:pPr>
      <w:r>
        <w:rPr>
          <w:rFonts w:hint="eastAsia" w:ascii="楷体_GB2312" w:eastAsia="楷体_GB2312"/>
        </w:rPr>
        <w:t>（二）存在的问题。</w:t>
      </w:r>
    </w:p>
    <w:p>
      <w:pPr>
        <w:overflowPunct w:val="0"/>
        <w:topLinePunct/>
        <w:spacing w:line="620" w:lineRule="exact"/>
        <w:ind w:firstLine="646" w:firstLineChars="200"/>
        <w:rPr>
          <w:rFonts w:hint="eastAsia"/>
        </w:rPr>
      </w:pPr>
      <w:r>
        <w:rPr>
          <w:rFonts w:hint="eastAsia"/>
        </w:rPr>
        <w:t>等待电子票据普及化。等待电子版一般缴款书全面上线。</w:t>
      </w:r>
      <w:r>
        <w:rPr>
          <w:rFonts w:hint="eastAsia"/>
        </w:rPr>
        <w:tab/>
      </w:r>
    </w:p>
    <w:p>
      <w:pPr>
        <w:overflowPunct w:val="0"/>
        <w:topLinePunct/>
        <w:spacing w:line="620" w:lineRule="exact"/>
        <w:ind w:firstLine="646" w:firstLineChars="200"/>
        <w:rPr>
          <w:rFonts w:hint="eastAsia" w:ascii="楷体_GB2312" w:eastAsia="楷体_GB2312"/>
        </w:rPr>
      </w:pPr>
      <w:r>
        <w:rPr>
          <w:rFonts w:hint="eastAsia" w:ascii="楷体_GB2312" w:eastAsia="楷体_GB2312"/>
        </w:rPr>
        <w:t>（三）相关建议。</w:t>
      </w:r>
    </w:p>
    <w:p>
      <w:pPr>
        <w:overflowPunct w:val="0"/>
        <w:topLinePunct/>
        <w:spacing w:line="620" w:lineRule="exact"/>
        <w:ind w:firstLine="646" w:firstLineChars="200"/>
      </w:pPr>
      <w:r>
        <w:rPr>
          <w:rFonts w:hint="eastAsia"/>
        </w:rPr>
        <w:t>无。</w:t>
      </w:r>
    </w:p>
    <w:p>
      <w:pPr>
        <w:overflowPunct w:val="0"/>
        <w:topLinePunct/>
        <w:spacing w:line="620" w:lineRule="exact"/>
        <w:ind w:firstLine="646" w:firstLineChars="200"/>
      </w:pPr>
      <w:r>
        <w:br w:type="page"/>
      </w:r>
    </w:p>
    <w:p>
      <w:pPr>
        <w:pStyle w:val="2"/>
        <w:overflowPunct w:val="0"/>
        <w:spacing w:before="0" w:after="0" w:line="620" w:lineRule="exact"/>
        <w:jc w:val="center"/>
        <w:rPr>
          <w:rFonts w:ascii="方正小标宋简体" w:hAnsi="仿宋" w:eastAsia="方正小标宋简体" w:cs="仿宋"/>
          <w:b w:val="0"/>
          <w:sz w:val="32"/>
          <w:szCs w:val="32"/>
        </w:rPr>
      </w:pPr>
      <w:bookmarkStart w:id="48" w:name="_Toc80282388"/>
      <w:r>
        <w:rPr>
          <w:rFonts w:hint="eastAsia" w:ascii="方正小标宋简体" w:hAnsi="仿宋" w:eastAsia="方正小标宋简体" w:cs="仿宋"/>
          <w:b w:val="0"/>
          <w:sz w:val="32"/>
          <w:szCs w:val="32"/>
        </w:rPr>
        <w:t>第五部分 附表</w:t>
      </w:r>
      <w:bookmarkEnd w:id="48"/>
    </w:p>
    <w:p>
      <w:pPr>
        <w:overflowPunct w:val="0"/>
        <w:topLinePunct/>
        <w:spacing w:line="620" w:lineRule="exact"/>
        <w:ind w:firstLine="646" w:firstLineChars="200"/>
      </w:pPr>
    </w:p>
    <w:p>
      <w:pPr>
        <w:pStyle w:val="3"/>
        <w:overflowPunct w:val="0"/>
        <w:topLinePunct/>
        <w:spacing w:before="0" w:after="0" w:line="620" w:lineRule="exact"/>
        <w:ind w:firstLine="646" w:firstLineChars="200"/>
        <w:rPr>
          <w:rStyle w:val="18"/>
          <w:rFonts w:ascii="Times New Roman" w:hAnsi="Times New Roman" w:eastAsia="仿宋_GB2312"/>
        </w:rPr>
      </w:pPr>
      <w:bookmarkStart w:id="49" w:name="_Toc80282389"/>
      <w:r>
        <w:rPr>
          <w:rStyle w:val="18"/>
          <w:rFonts w:ascii="Times New Roman" w:hAnsi="Times New Roman" w:eastAsia="仿宋_GB2312"/>
        </w:rPr>
        <w:t>一、收入支出决算总表</w:t>
      </w:r>
      <w:bookmarkEnd w:id="49"/>
    </w:p>
    <w:p>
      <w:pPr>
        <w:pStyle w:val="3"/>
        <w:overflowPunct w:val="0"/>
        <w:topLinePunct/>
        <w:spacing w:before="0" w:after="0" w:line="620" w:lineRule="exact"/>
        <w:ind w:firstLine="646" w:firstLineChars="200"/>
        <w:rPr>
          <w:rStyle w:val="18"/>
          <w:rFonts w:ascii="Times New Roman" w:hAnsi="Times New Roman" w:eastAsia="仿宋_GB2312"/>
        </w:rPr>
      </w:pPr>
      <w:bookmarkStart w:id="50" w:name="_Toc80282390"/>
      <w:r>
        <w:rPr>
          <w:rStyle w:val="18"/>
          <w:rFonts w:ascii="Times New Roman" w:hAnsi="Times New Roman" w:eastAsia="仿宋_GB2312"/>
        </w:rPr>
        <w:t>二、收入决算表</w:t>
      </w:r>
      <w:bookmarkEnd w:id="50"/>
    </w:p>
    <w:p>
      <w:pPr>
        <w:pStyle w:val="3"/>
        <w:overflowPunct w:val="0"/>
        <w:topLinePunct/>
        <w:spacing w:before="0" w:after="0" w:line="620" w:lineRule="exact"/>
        <w:ind w:firstLine="646" w:firstLineChars="200"/>
        <w:rPr>
          <w:rStyle w:val="18"/>
          <w:rFonts w:ascii="Times New Roman" w:hAnsi="Times New Roman" w:eastAsia="仿宋_GB2312"/>
        </w:rPr>
      </w:pPr>
      <w:bookmarkStart w:id="51" w:name="_Toc80282391"/>
      <w:r>
        <w:rPr>
          <w:rStyle w:val="18"/>
          <w:rFonts w:ascii="Times New Roman" w:hAnsi="Times New Roman" w:eastAsia="仿宋_GB2312"/>
        </w:rPr>
        <w:t>三、支出决算表</w:t>
      </w:r>
      <w:bookmarkEnd w:id="51"/>
    </w:p>
    <w:p>
      <w:pPr>
        <w:pStyle w:val="3"/>
        <w:overflowPunct w:val="0"/>
        <w:topLinePunct/>
        <w:spacing w:before="0" w:after="0" w:line="620" w:lineRule="exact"/>
        <w:ind w:firstLine="646" w:firstLineChars="200"/>
        <w:rPr>
          <w:rStyle w:val="18"/>
          <w:rFonts w:ascii="Times New Roman" w:hAnsi="Times New Roman" w:eastAsia="仿宋_GB2312"/>
        </w:rPr>
      </w:pPr>
      <w:bookmarkStart w:id="52" w:name="_Toc80282392"/>
      <w:r>
        <w:rPr>
          <w:rStyle w:val="18"/>
          <w:rFonts w:ascii="Times New Roman" w:hAnsi="Times New Roman" w:eastAsia="仿宋_GB2312"/>
        </w:rPr>
        <w:t>四、财政拨款收入支出决算总表</w:t>
      </w:r>
      <w:bookmarkEnd w:id="52"/>
    </w:p>
    <w:p>
      <w:pPr>
        <w:pStyle w:val="3"/>
        <w:overflowPunct w:val="0"/>
        <w:topLinePunct/>
        <w:spacing w:before="0" w:after="0" w:line="620" w:lineRule="exact"/>
        <w:ind w:firstLine="646" w:firstLineChars="200"/>
        <w:rPr>
          <w:rStyle w:val="18"/>
          <w:rFonts w:ascii="Times New Roman" w:hAnsi="Times New Roman" w:eastAsia="仿宋_GB2312"/>
        </w:rPr>
      </w:pPr>
      <w:bookmarkStart w:id="53" w:name="_Toc80282393"/>
      <w:r>
        <w:rPr>
          <w:rStyle w:val="18"/>
          <w:rFonts w:ascii="Times New Roman" w:hAnsi="Times New Roman" w:eastAsia="仿宋_GB2312"/>
        </w:rPr>
        <w:t>五、财政拨款支出决算明细表</w:t>
      </w:r>
      <w:bookmarkEnd w:id="53"/>
    </w:p>
    <w:p>
      <w:pPr>
        <w:pStyle w:val="3"/>
        <w:overflowPunct w:val="0"/>
        <w:topLinePunct/>
        <w:spacing w:before="0" w:after="0" w:line="620" w:lineRule="exact"/>
        <w:ind w:firstLine="646" w:firstLineChars="200"/>
        <w:rPr>
          <w:rStyle w:val="18"/>
          <w:rFonts w:ascii="Times New Roman" w:hAnsi="Times New Roman" w:eastAsia="仿宋_GB2312"/>
        </w:rPr>
      </w:pPr>
      <w:bookmarkStart w:id="54" w:name="_Toc80282394"/>
      <w:r>
        <w:rPr>
          <w:rStyle w:val="18"/>
          <w:rFonts w:ascii="Times New Roman" w:hAnsi="Times New Roman" w:eastAsia="仿宋_GB2312"/>
        </w:rPr>
        <w:t>六、一般公共预算财政拨款支出决算表</w:t>
      </w:r>
      <w:bookmarkEnd w:id="54"/>
    </w:p>
    <w:p>
      <w:pPr>
        <w:pStyle w:val="3"/>
        <w:overflowPunct w:val="0"/>
        <w:topLinePunct/>
        <w:spacing w:before="0" w:after="0" w:line="620" w:lineRule="exact"/>
        <w:ind w:firstLine="646" w:firstLineChars="200"/>
        <w:rPr>
          <w:rStyle w:val="18"/>
          <w:rFonts w:ascii="Times New Roman" w:hAnsi="Times New Roman" w:eastAsia="仿宋_GB2312"/>
        </w:rPr>
      </w:pPr>
      <w:bookmarkStart w:id="55" w:name="_Toc80282395"/>
      <w:r>
        <w:rPr>
          <w:rStyle w:val="18"/>
          <w:rFonts w:ascii="Times New Roman" w:hAnsi="Times New Roman" w:eastAsia="仿宋_GB2312"/>
        </w:rPr>
        <w:t>七、一般公共预算财政拨款支出决算明细表</w:t>
      </w:r>
      <w:bookmarkEnd w:id="55"/>
    </w:p>
    <w:p>
      <w:pPr>
        <w:pStyle w:val="3"/>
        <w:overflowPunct w:val="0"/>
        <w:topLinePunct/>
        <w:spacing w:before="0" w:after="0" w:line="620" w:lineRule="exact"/>
        <w:ind w:firstLine="646" w:firstLineChars="200"/>
        <w:rPr>
          <w:rStyle w:val="18"/>
          <w:rFonts w:ascii="Times New Roman" w:hAnsi="Times New Roman" w:eastAsia="仿宋_GB2312"/>
        </w:rPr>
      </w:pPr>
      <w:bookmarkStart w:id="56" w:name="_Toc80282396"/>
      <w:r>
        <w:rPr>
          <w:rStyle w:val="18"/>
          <w:rFonts w:ascii="Times New Roman" w:hAnsi="Times New Roman" w:eastAsia="仿宋_GB2312"/>
        </w:rPr>
        <w:t>八、一般公共预算财政拨款基本支出决算表</w:t>
      </w:r>
      <w:bookmarkEnd w:id="56"/>
    </w:p>
    <w:p>
      <w:pPr>
        <w:pStyle w:val="3"/>
        <w:overflowPunct w:val="0"/>
        <w:topLinePunct/>
        <w:spacing w:before="0" w:after="0" w:line="620" w:lineRule="exact"/>
        <w:ind w:firstLine="646" w:firstLineChars="200"/>
        <w:rPr>
          <w:rStyle w:val="18"/>
          <w:rFonts w:ascii="Times New Roman" w:hAnsi="Times New Roman" w:eastAsia="仿宋_GB2312"/>
        </w:rPr>
      </w:pPr>
      <w:bookmarkStart w:id="57" w:name="_Toc80282397"/>
      <w:r>
        <w:rPr>
          <w:rStyle w:val="18"/>
          <w:rFonts w:ascii="Times New Roman" w:hAnsi="Times New Roman" w:eastAsia="仿宋_GB2312"/>
        </w:rPr>
        <w:t>九、一般公共预算财政拨款项目支出决算表</w:t>
      </w:r>
      <w:bookmarkEnd w:id="57"/>
    </w:p>
    <w:p>
      <w:pPr>
        <w:pStyle w:val="3"/>
        <w:overflowPunct w:val="0"/>
        <w:topLinePunct/>
        <w:spacing w:before="0" w:after="0" w:line="620" w:lineRule="exact"/>
        <w:ind w:firstLine="646" w:firstLineChars="200"/>
        <w:rPr>
          <w:rStyle w:val="18"/>
          <w:rFonts w:ascii="Times New Roman" w:hAnsi="Times New Roman" w:eastAsia="仿宋_GB2312"/>
        </w:rPr>
      </w:pPr>
      <w:bookmarkStart w:id="58" w:name="_Toc80282398"/>
      <w:r>
        <w:rPr>
          <w:rStyle w:val="18"/>
          <w:rFonts w:ascii="Times New Roman" w:hAnsi="Times New Roman" w:eastAsia="仿宋_GB2312"/>
        </w:rPr>
        <w:t>十、一般公共预算财政拨款“三公”经费支出决算表</w:t>
      </w:r>
      <w:bookmarkEnd w:id="58"/>
    </w:p>
    <w:p>
      <w:pPr>
        <w:pStyle w:val="3"/>
        <w:overflowPunct w:val="0"/>
        <w:topLinePunct/>
        <w:spacing w:before="0" w:after="0" w:line="620" w:lineRule="exact"/>
        <w:ind w:firstLine="646" w:firstLineChars="200"/>
        <w:rPr>
          <w:rStyle w:val="18"/>
          <w:rFonts w:ascii="Times New Roman" w:hAnsi="Times New Roman" w:eastAsia="仿宋_GB2312"/>
        </w:rPr>
      </w:pPr>
      <w:bookmarkStart w:id="59" w:name="_Toc80282399"/>
      <w:r>
        <w:rPr>
          <w:rStyle w:val="18"/>
          <w:rFonts w:ascii="Times New Roman" w:hAnsi="Times New Roman" w:eastAsia="仿宋_GB2312"/>
        </w:rPr>
        <w:t>十一、政府性基金预算财政拨款收入支出决算表</w:t>
      </w:r>
      <w:bookmarkEnd w:id="59"/>
    </w:p>
    <w:p>
      <w:pPr>
        <w:pStyle w:val="3"/>
        <w:overflowPunct w:val="0"/>
        <w:topLinePunct/>
        <w:spacing w:before="0" w:after="0" w:line="620" w:lineRule="exact"/>
        <w:ind w:firstLine="646" w:firstLineChars="200"/>
        <w:rPr>
          <w:rStyle w:val="18"/>
          <w:rFonts w:ascii="Times New Roman" w:hAnsi="Times New Roman" w:eastAsia="仿宋_GB2312"/>
        </w:rPr>
      </w:pPr>
      <w:bookmarkStart w:id="60" w:name="_Toc80282400"/>
      <w:r>
        <w:rPr>
          <w:rStyle w:val="18"/>
          <w:rFonts w:ascii="Times New Roman" w:hAnsi="Times New Roman" w:eastAsia="仿宋_GB2312"/>
        </w:rPr>
        <w:t>十二、政府性基金预算财政拨款“三公”经费支出决算表</w:t>
      </w:r>
      <w:bookmarkEnd w:id="60"/>
    </w:p>
    <w:p>
      <w:pPr>
        <w:pStyle w:val="3"/>
        <w:overflowPunct w:val="0"/>
        <w:topLinePunct/>
        <w:spacing w:before="0" w:after="0" w:line="620" w:lineRule="exact"/>
        <w:ind w:firstLine="646" w:firstLineChars="200"/>
        <w:rPr>
          <w:rStyle w:val="18"/>
          <w:rFonts w:ascii="Times New Roman" w:hAnsi="Times New Roman" w:eastAsia="仿宋_GB2312"/>
        </w:rPr>
      </w:pPr>
      <w:bookmarkStart w:id="61" w:name="_Toc80282401"/>
      <w:r>
        <w:rPr>
          <w:rStyle w:val="18"/>
          <w:rFonts w:ascii="Times New Roman" w:hAnsi="Times New Roman" w:eastAsia="仿宋_GB2312"/>
        </w:rPr>
        <w:t>十三、国有资本经营预算财政拨款收入支出决算表</w:t>
      </w:r>
      <w:bookmarkEnd w:id="61"/>
    </w:p>
    <w:p>
      <w:pPr>
        <w:pStyle w:val="3"/>
        <w:overflowPunct w:val="0"/>
        <w:topLinePunct/>
        <w:spacing w:before="0" w:after="0" w:line="620" w:lineRule="exact"/>
        <w:ind w:firstLine="646" w:firstLineChars="200"/>
        <w:rPr>
          <w:rStyle w:val="18"/>
          <w:rFonts w:ascii="Times New Roman" w:hAnsi="Times New Roman" w:eastAsia="仿宋_GB2312"/>
        </w:rPr>
      </w:pPr>
      <w:bookmarkStart w:id="62" w:name="_Toc80282402"/>
      <w:r>
        <w:rPr>
          <w:rStyle w:val="18"/>
          <w:rFonts w:ascii="Times New Roman" w:hAnsi="Times New Roman" w:eastAsia="仿宋_GB2312"/>
        </w:rPr>
        <w:t>十四、国有资本经营预算财政拨款支出决算表</w:t>
      </w:r>
      <w:bookmarkEnd w:id="62"/>
    </w:p>
    <w:p>
      <w:pPr>
        <w:overflowPunct w:val="0"/>
        <w:topLinePunct/>
        <w:spacing w:line="620" w:lineRule="exact"/>
        <w:ind w:firstLine="646" w:firstLineChars="200"/>
        <w:rPr>
          <w:rFonts w:hint="eastAsia"/>
        </w:rPr>
      </w:pPr>
    </w:p>
    <w:sectPr>
      <w:pgSz w:w="11906" w:h="16838"/>
      <w:pgMar w:top="1531" w:right="1418" w:bottom="1531" w:left="1418" w:header="851" w:footer="953" w:gutter="0"/>
      <w:pgNumType w:fmt="numberInDash" w:start="1"/>
      <w:cols w:space="720" w:num="1"/>
      <w:docGrid w:type="linesAndChars" w:linePitch="626" w:charSpace="8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E00006FF" w:usb1="420024FF"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00"/>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00"/>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20" w:leftChars="100" w:right="320" w:rightChars="100"/>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lang/>
      </w:rPr>
      <w:t xml:space="preserve"> 1 -</w:t>
    </w:r>
    <w:r>
      <w:rPr>
        <w:rFonts w:ascii="宋体" w:hAnsi="宋体" w:eastAsia="宋体"/>
        <w:sz w:val="28"/>
        <w:szCs w:val="28"/>
        <w:lang w:val="zh-CN"/>
      </w:rP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320" w:leftChars="100" w:right="320" w:rightChars="1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lang/>
      </w:rPr>
      <w:t xml:space="preserve"> 2 -</w:t>
    </w:r>
    <w:r>
      <w:rPr>
        <w:rFonts w:ascii="宋体" w:hAnsi="宋体" w:eastAsia="宋体"/>
        <w:sz w:val="28"/>
        <w:szCs w:val="28"/>
      </w:rPr>
      <w:fldChar w:fldCharType="end"/>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2"/>
  <w:drawingGridVerticalSpacing w:val="313"/>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78"/>
    <w:rsid w:val="00024CD8"/>
    <w:rsid w:val="0003501A"/>
    <w:rsid w:val="00043A2C"/>
    <w:rsid w:val="000560BF"/>
    <w:rsid w:val="000647EA"/>
    <w:rsid w:val="000676A9"/>
    <w:rsid w:val="000B09A5"/>
    <w:rsid w:val="000B6B58"/>
    <w:rsid w:val="000C0EF6"/>
    <w:rsid w:val="000D242E"/>
    <w:rsid w:val="000F097D"/>
    <w:rsid w:val="000F4AFE"/>
    <w:rsid w:val="00141C34"/>
    <w:rsid w:val="00147FCD"/>
    <w:rsid w:val="001500C7"/>
    <w:rsid w:val="0015549C"/>
    <w:rsid w:val="00165008"/>
    <w:rsid w:val="00182761"/>
    <w:rsid w:val="001A3389"/>
    <w:rsid w:val="001A4868"/>
    <w:rsid w:val="001C72A3"/>
    <w:rsid w:val="001D06B3"/>
    <w:rsid w:val="00222008"/>
    <w:rsid w:val="00231090"/>
    <w:rsid w:val="00236AFE"/>
    <w:rsid w:val="00237938"/>
    <w:rsid w:val="00237D57"/>
    <w:rsid w:val="00244545"/>
    <w:rsid w:val="0026650D"/>
    <w:rsid w:val="00266525"/>
    <w:rsid w:val="00266F80"/>
    <w:rsid w:val="002839CE"/>
    <w:rsid w:val="0028791F"/>
    <w:rsid w:val="00294EC6"/>
    <w:rsid w:val="002B1218"/>
    <w:rsid w:val="002B32E6"/>
    <w:rsid w:val="002C164D"/>
    <w:rsid w:val="002C6200"/>
    <w:rsid w:val="002E42EF"/>
    <w:rsid w:val="002E5BE8"/>
    <w:rsid w:val="00312392"/>
    <w:rsid w:val="0031311C"/>
    <w:rsid w:val="00333BC4"/>
    <w:rsid w:val="00343B9B"/>
    <w:rsid w:val="00345327"/>
    <w:rsid w:val="00345EC7"/>
    <w:rsid w:val="0034750A"/>
    <w:rsid w:val="003518CC"/>
    <w:rsid w:val="003619CB"/>
    <w:rsid w:val="00377C48"/>
    <w:rsid w:val="00380DF0"/>
    <w:rsid w:val="00391B4F"/>
    <w:rsid w:val="00392E1D"/>
    <w:rsid w:val="003A4434"/>
    <w:rsid w:val="003B1E82"/>
    <w:rsid w:val="003B7350"/>
    <w:rsid w:val="003C243B"/>
    <w:rsid w:val="003F2F93"/>
    <w:rsid w:val="004042B2"/>
    <w:rsid w:val="00406241"/>
    <w:rsid w:val="00426214"/>
    <w:rsid w:val="004375E8"/>
    <w:rsid w:val="00446577"/>
    <w:rsid w:val="004472FC"/>
    <w:rsid w:val="00455B29"/>
    <w:rsid w:val="00474029"/>
    <w:rsid w:val="004A4180"/>
    <w:rsid w:val="004B2C06"/>
    <w:rsid w:val="004E6604"/>
    <w:rsid w:val="004E73A8"/>
    <w:rsid w:val="005106D3"/>
    <w:rsid w:val="005219C7"/>
    <w:rsid w:val="00531290"/>
    <w:rsid w:val="00560939"/>
    <w:rsid w:val="005631EE"/>
    <w:rsid w:val="00564C75"/>
    <w:rsid w:val="00597858"/>
    <w:rsid w:val="005D0E1B"/>
    <w:rsid w:val="00606B93"/>
    <w:rsid w:val="00620C7B"/>
    <w:rsid w:val="006224B7"/>
    <w:rsid w:val="006554B6"/>
    <w:rsid w:val="006605B2"/>
    <w:rsid w:val="0066793D"/>
    <w:rsid w:val="006749F9"/>
    <w:rsid w:val="00676C59"/>
    <w:rsid w:val="00680752"/>
    <w:rsid w:val="00680D24"/>
    <w:rsid w:val="006815DA"/>
    <w:rsid w:val="00683B54"/>
    <w:rsid w:val="00690183"/>
    <w:rsid w:val="00695AA3"/>
    <w:rsid w:val="006B18A5"/>
    <w:rsid w:val="006C306A"/>
    <w:rsid w:val="006C438B"/>
    <w:rsid w:val="006F3648"/>
    <w:rsid w:val="006F7625"/>
    <w:rsid w:val="0070305D"/>
    <w:rsid w:val="007105BD"/>
    <w:rsid w:val="007432DA"/>
    <w:rsid w:val="00750A4E"/>
    <w:rsid w:val="0076505A"/>
    <w:rsid w:val="00782759"/>
    <w:rsid w:val="007900B1"/>
    <w:rsid w:val="00795623"/>
    <w:rsid w:val="007B7742"/>
    <w:rsid w:val="007C71C1"/>
    <w:rsid w:val="007E35B0"/>
    <w:rsid w:val="007E79F6"/>
    <w:rsid w:val="007F3E8C"/>
    <w:rsid w:val="0080420D"/>
    <w:rsid w:val="00805408"/>
    <w:rsid w:val="00821421"/>
    <w:rsid w:val="00831F29"/>
    <w:rsid w:val="0087290E"/>
    <w:rsid w:val="00874970"/>
    <w:rsid w:val="008826BD"/>
    <w:rsid w:val="00890189"/>
    <w:rsid w:val="00891E93"/>
    <w:rsid w:val="008B1358"/>
    <w:rsid w:val="008B5C96"/>
    <w:rsid w:val="008D5EFF"/>
    <w:rsid w:val="008E39CE"/>
    <w:rsid w:val="00921CE9"/>
    <w:rsid w:val="00927072"/>
    <w:rsid w:val="009515DB"/>
    <w:rsid w:val="009832A8"/>
    <w:rsid w:val="009874E0"/>
    <w:rsid w:val="00990CA9"/>
    <w:rsid w:val="0099252B"/>
    <w:rsid w:val="009A0EDD"/>
    <w:rsid w:val="009A3360"/>
    <w:rsid w:val="009B1A00"/>
    <w:rsid w:val="009B33C7"/>
    <w:rsid w:val="009B3568"/>
    <w:rsid w:val="009B4FD2"/>
    <w:rsid w:val="009C35C0"/>
    <w:rsid w:val="009E1904"/>
    <w:rsid w:val="009E39A6"/>
    <w:rsid w:val="009F6AAF"/>
    <w:rsid w:val="00A11934"/>
    <w:rsid w:val="00A20F9B"/>
    <w:rsid w:val="00A444A1"/>
    <w:rsid w:val="00A61E2B"/>
    <w:rsid w:val="00A76943"/>
    <w:rsid w:val="00A8649C"/>
    <w:rsid w:val="00AA3AAC"/>
    <w:rsid w:val="00AC692E"/>
    <w:rsid w:val="00AE5B4A"/>
    <w:rsid w:val="00AE7D88"/>
    <w:rsid w:val="00AF2387"/>
    <w:rsid w:val="00AF61E4"/>
    <w:rsid w:val="00B00828"/>
    <w:rsid w:val="00B00DFF"/>
    <w:rsid w:val="00B064F2"/>
    <w:rsid w:val="00B06C64"/>
    <w:rsid w:val="00B11EBE"/>
    <w:rsid w:val="00B237F7"/>
    <w:rsid w:val="00B32D53"/>
    <w:rsid w:val="00B43CFB"/>
    <w:rsid w:val="00B477E7"/>
    <w:rsid w:val="00B54A5A"/>
    <w:rsid w:val="00B5688C"/>
    <w:rsid w:val="00B615D0"/>
    <w:rsid w:val="00B66639"/>
    <w:rsid w:val="00BC02BA"/>
    <w:rsid w:val="00BC04B2"/>
    <w:rsid w:val="00BC37D6"/>
    <w:rsid w:val="00BD08E8"/>
    <w:rsid w:val="00BF5A1C"/>
    <w:rsid w:val="00C0545F"/>
    <w:rsid w:val="00C257B9"/>
    <w:rsid w:val="00C30569"/>
    <w:rsid w:val="00C324B5"/>
    <w:rsid w:val="00C43234"/>
    <w:rsid w:val="00C43D33"/>
    <w:rsid w:val="00C6759D"/>
    <w:rsid w:val="00C76E98"/>
    <w:rsid w:val="00C838C3"/>
    <w:rsid w:val="00CA0CF8"/>
    <w:rsid w:val="00CB56CF"/>
    <w:rsid w:val="00CC3BF8"/>
    <w:rsid w:val="00CE659A"/>
    <w:rsid w:val="00CE7CA5"/>
    <w:rsid w:val="00CF2697"/>
    <w:rsid w:val="00D02B32"/>
    <w:rsid w:val="00D30CAF"/>
    <w:rsid w:val="00D428BC"/>
    <w:rsid w:val="00D4457D"/>
    <w:rsid w:val="00D6461C"/>
    <w:rsid w:val="00DA12BE"/>
    <w:rsid w:val="00DA1BFF"/>
    <w:rsid w:val="00DA2A3D"/>
    <w:rsid w:val="00DA474D"/>
    <w:rsid w:val="00DC2BE1"/>
    <w:rsid w:val="00DE0A12"/>
    <w:rsid w:val="00DE6F64"/>
    <w:rsid w:val="00DF1204"/>
    <w:rsid w:val="00DF13E9"/>
    <w:rsid w:val="00DF3415"/>
    <w:rsid w:val="00DF7047"/>
    <w:rsid w:val="00DF7332"/>
    <w:rsid w:val="00E118D5"/>
    <w:rsid w:val="00E1257D"/>
    <w:rsid w:val="00E2516D"/>
    <w:rsid w:val="00E30C88"/>
    <w:rsid w:val="00E37CBA"/>
    <w:rsid w:val="00E4456D"/>
    <w:rsid w:val="00E500E7"/>
    <w:rsid w:val="00E50B80"/>
    <w:rsid w:val="00E545CE"/>
    <w:rsid w:val="00E75A2C"/>
    <w:rsid w:val="00E87978"/>
    <w:rsid w:val="00E87AA8"/>
    <w:rsid w:val="00E9468E"/>
    <w:rsid w:val="00E96286"/>
    <w:rsid w:val="00E96E58"/>
    <w:rsid w:val="00EA37CE"/>
    <w:rsid w:val="00EE13A1"/>
    <w:rsid w:val="00EE674E"/>
    <w:rsid w:val="00EE6A0B"/>
    <w:rsid w:val="00EE7362"/>
    <w:rsid w:val="00F333B0"/>
    <w:rsid w:val="00F344DA"/>
    <w:rsid w:val="00F50F43"/>
    <w:rsid w:val="00FA24B3"/>
    <w:rsid w:val="00FE5EEB"/>
    <w:rsid w:val="00FF3951"/>
    <w:rsid w:val="0537555B"/>
    <w:rsid w:val="06620926"/>
    <w:rsid w:val="117135CD"/>
    <w:rsid w:val="12BD2010"/>
    <w:rsid w:val="146243CF"/>
    <w:rsid w:val="1C7373C5"/>
    <w:rsid w:val="21456872"/>
    <w:rsid w:val="2AE33CB5"/>
    <w:rsid w:val="2B877BEF"/>
    <w:rsid w:val="2CBB2799"/>
    <w:rsid w:val="309569FF"/>
    <w:rsid w:val="385F0A50"/>
    <w:rsid w:val="3C864798"/>
    <w:rsid w:val="3E0F2B03"/>
    <w:rsid w:val="3EA66E6F"/>
    <w:rsid w:val="489B0C25"/>
    <w:rsid w:val="4D19229D"/>
    <w:rsid w:val="4F325865"/>
    <w:rsid w:val="4F6D1F8B"/>
    <w:rsid w:val="50906BE3"/>
    <w:rsid w:val="57DF5B4B"/>
    <w:rsid w:val="58787268"/>
    <w:rsid w:val="5AAE0D4A"/>
    <w:rsid w:val="5CE10C08"/>
    <w:rsid w:val="6132352D"/>
    <w:rsid w:val="62592453"/>
    <w:rsid w:val="650E5226"/>
    <w:rsid w:val="6E4E086B"/>
    <w:rsid w:val="6F036404"/>
    <w:rsid w:val="72FD008F"/>
    <w:rsid w:val="74F74A1B"/>
    <w:rsid w:val="77075E84"/>
    <w:rsid w:val="7DAE5FC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kern w:val="2"/>
      <w:sz w:val="32"/>
      <w:szCs w:val="3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rFonts w:eastAsia="宋体"/>
      <w:b/>
      <w:bCs/>
      <w:kern w:val="44"/>
      <w:sz w:val="44"/>
      <w:szCs w:val="44"/>
    </w:rPr>
  </w:style>
  <w:style w:type="paragraph" w:styleId="3">
    <w:name w:val="heading 2"/>
    <w:basedOn w:val="1"/>
    <w:next w:val="1"/>
    <w:link w:val="18"/>
    <w:qFormat/>
    <w:uiPriority w:val="9"/>
    <w:pPr>
      <w:keepNext/>
      <w:keepLines/>
      <w:spacing w:before="260" w:after="260" w:line="416" w:lineRule="auto"/>
      <w:outlineLvl w:val="1"/>
    </w:pPr>
    <w:rPr>
      <w:rFonts w:ascii="Cambria" w:hAnsi="Cambria" w:eastAsia="宋体"/>
      <w:b/>
      <w:bCs/>
    </w:rPr>
  </w:style>
  <w:style w:type="character" w:default="1" w:styleId="11">
    <w:name w:val="Default Paragraph Font"/>
    <w:uiPriority w:val="0"/>
  </w:style>
  <w:style w:type="table" w:default="1" w:styleId="10">
    <w:name w:val="Normal Table"/>
    <w:semiHidden/>
    <w:uiPriority w:val="0"/>
    <w:tblPr>
      <w:tblStyle w:val="10"/>
      <w:tblCellMar>
        <w:top w:w="0" w:type="dxa"/>
        <w:left w:w="108" w:type="dxa"/>
        <w:bottom w:w="0" w:type="dxa"/>
        <w:right w:w="108" w:type="dxa"/>
      </w:tblCellMar>
    </w:tblPr>
  </w:style>
  <w:style w:type="paragraph" w:styleId="4">
    <w:name w:val="Date"/>
    <w:basedOn w:val="1"/>
    <w:next w:val="1"/>
    <w:uiPriority w:val="0"/>
    <w:pPr>
      <w:ind w:left="2500" w:leftChars="2500"/>
    </w:pPr>
  </w:style>
  <w:style w:type="paragraph" w:styleId="5">
    <w:name w:val="Balloon Text"/>
    <w:basedOn w:val="1"/>
    <w:uiPriority w:val="0"/>
    <w:rPr>
      <w:sz w:val="18"/>
      <w:szCs w:val="18"/>
    </w:rPr>
  </w:style>
  <w:style w:type="paragraph" w:styleId="6">
    <w:name w:val="footer"/>
    <w:basedOn w:val="1"/>
    <w:link w:val="19"/>
    <w:uiPriority w:val="99"/>
    <w:pPr>
      <w:tabs>
        <w:tab w:val="center" w:pos="4153"/>
        <w:tab w:val="right" w:pos="8306"/>
      </w:tabs>
      <w:snapToGrid w:val="0"/>
      <w:jc w:val="left"/>
    </w:pPr>
    <w:rPr>
      <w:sz w:val="18"/>
      <w:szCs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uiPriority w:val="39"/>
    <w:pPr>
      <w:tabs>
        <w:tab w:val="right" w:leader="dot" w:pos="9060"/>
      </w:tabs>
      <w:spacing w:line="600" w:lineRule="exact"/>
    </w:pPr>
    <w:rPr>
      <w:rFonts w:ascii="方正小标宋简体" w:hAnsi="宋体" w:eastAsia="方正小标宋简体" w:cs="仿宋"/>
      <w:sz w:val="28"/>
      <w:szCs w:val="28"/>
      <w:lang/>
    </w:rPr>
  </w:style>
  <w:style w:type="paragraph" w:styleId="9">
    <w:name w:val="toc 2"/>
    <w:basedOn w:val="1"/>
    <w:next w:val="1"/>
    <w:uiPriority w:val="39"/>
    <w:pPr>
      <w:ind w:left="420" w:leftChars="200"/>
    </w:pPr>
  </w:style>
  <w:style w:type="character" w:styleId="12">
    <w:name w:val="Strong"/>
    <w:qFormat/>
    <w:uiPriority w:val="99"/>
    <w:rPr>
      <w:rFonts w:cs="Times New Roman"/>
      <w:b/>
    </w:rPr>
  </w:style>
  <w:style w:type="character" w:styleId="13">
    <w:name w:val="page number"/>
    <w:basedOn w:val="11"/>
    <w:uiPriority w:val="0"/>
  </w:style>
  <w:style w:type="character" w:styleId="14">
    <w:name w:val="Emphasis"/>
    <w:qFormat/>
    <w:uiPriority w:val="0"/>
    <w:rPr>
      <w:color w:val="CC0000"/>
    </w:rPr>
  </w:style>
  <w:style w:type="character" w:styleId="15">
    <w:name w:val="Hyperlink"/>
    <w:unhideWhenUsed/>
    <w:uiPriority w:val="99"/>
    <w:rPr>
      <w:color w:val="0563C1"/>
      <w:u w:val="single"/>
    </w:rPr>
  </w:style>
  <w:style w:type="character" w:styleId="16">
    <w:name w:val="HTML Cite"/>
    <w:uiPriority w:val="0"/>
    <w:rPr>
      <w:color w:val="008000"/>
    </w:rPr>
  </w:style>
  <w:style w:type="character" w:customStyle="1" w:styleId="17">
    <w:name w:val="标题 1 字符"/>
    <w:link w:val="2"/>
    <w:qFormat/>
    <w:uiPriority w:val="9"/>
    <w:rPr>
      <w:b/>
      <w:bCs/>
      <w:kern w:val="44"/>
      <w:sz w:val="44"/>
      <w:szCs w:val="44"/>
    </w:rPr>
  </w:style>
  <w:style w:type="character" w:customStyle="1" w:styleId="18">
    <w:name w:val="标题 2 字符"/>
    <w:link w:val="3"/>
    <w:qFormat/>
    <w:uiPriority w:val="9"/>
    <w:rPr>
      <w:rFonts w:ascii="Cambria" w:hAnsi="Cambria"/>
      <w:b/>
      <w:bCs/>
      <w:kern w:val="2"/>
      <w:sz w:val="32"/>
      <w:szCs w:val="32"/>
    </w:rPr>
  </w:style>
  <w:style w:type="character" w:customStyle="1" w:styleId="19">
    <w:name w:val="页脚 Char"/>
    <w:link w:val="6"/>
    <w:uiPriority w:val="99"/>
    <w:rPr>
      <w:rFonts w:eastAsia="仿宋_GB2312"/>
      <w:kern w:val="2"/>
      <w:sz w:val="18"/>
      <w:szCs w:val="18"/>
    </w:rPr>
  </w:style>
  <w:style w:type="character" w:customStyle="1" w:styleId="20">
    <w:name w:val="apple-style-span"/>
    <w:basedOn w:val="11"/>
    <w:uiPriority w:val="0"/>
  </w:style>
  <w:style w:type="paragraph" w:customStyle="1" w:styleId="21">
    <w:name w:val="List Paragraph"/>
    <w:basedOn w:val="1"/>
    <w:qFormat/>
    <w:uiPriority w:val="34"/>
    <w:pPr>
      <w:ind w:firstLine="420" w:firstLineChars="200"/>
    </w:pPr>
    <w:rPr>
      <w:rFonts w:eastAsia="宋体"/>
      <w:sz w:val="21"/>
      <w:szCs w:val="24"/>
    </w:rPr>
  </w:style>
  <w:style w:type="paragraph" w:styleId="22">
    <w:name w:val=""/>
    <w:basedOn w:val="2"/>
    <w:next w:val="1"/>
    <w:unhideWhenUsed/>
    <w:qFormat/>
    <w:uiPriority w:val="39"/>
    <w:pPr>
      <w:widowControl/>
      <w:spacing w:before="240" w:after="0" w:line="259" w:lineRule="auto"/>
      <w:jc w:val="left"/>
      <w:outlineLvl w:val="9"/>
    </w:pPr>
    <w:rPr>
      <w:rFonts w:ascii="等线 Light" w:hAnsi="等线 Light" w:eastAsia="等线 Light" w:cs="Times New Roman"/>
      <w:b w:val="0"/>
      <w:bCs w:val="0"/>
      <w:color w:val="2E74B5"/>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2.emf"/><Relationship Id="rId8" Type="http://schemas.openxmlformats.org/officeDocument/2006/relationships/oleObject" Target="embeddings/oleObject2.bin"/><Relationship Id="rId7" Type="http://schemas.openxmlformats.org/officeDocument/2006/relationships/image" Target="media/image1.e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xml"/><Relationship Id="rId17" Type="http://schemas.openxmlformats.org/officeDocument/2006/relationships/image" Target="media/image6.emf"/><Relationship Id="rId16" Type="http://schemas.openxmlformats.org/officeDocument/2006/relationships/oleObject" Target="embeddings/oleObject6.bin"/><Relationship Id="rId15" Type="http://schemas.openxmlformats.org/officeDocument/2006/relationships/image" Target="media/image5.emf"/><Relationship Id="rId14" Type="http://schemas.openxmlformats.org/officeDocument/2006/relationships/oleObject" Target="embeddings/oleObject5.bin"/><Relationship Id="rId13" Type="http://schemas.openxmlformats.org/officeDocument/2006/relationships/image" Target="media/image4.emf"/><Relationship Id="rId12" Type="http://schemas.openxmlformats.org/officeDocument/2006/relationships/oleObject" Target="embeddings/oleObject4.bin"/><Relationship Id="rId11" Type="http://schemas.openxmlformats.org/officeDocument/2006/relationships/image" Target="media/image3.e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7"/>
    <customShpInfo spid="_x0000_s1028"/>
    <customShpInfo spid="_x0000_s1029"/>
    <customShpInfo spid="_x0000_s1035"/>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37</Pages>
  <Words>2309</Words>
  <Characters>13163</Characters>
  <Lines>109</Lines>
  <Paragraphs>30</Paragraphs>
  <TotalTime>0</TotalTime>
  <ScaleCrop>false</ScaleCrop>
  <LinksUpToDate>false</LinksUpToDate>
  <CharactersWithSpaces>15442</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2021-08-19T15:36:00Z</dcterms:created>
  <dc:creator>微软用户</dc:creator>
  <cp:lastModifiedBy>予仔</cp:lastModifiedBy>
  <cp:lastPrinted>2021-01-14T14:43:00Z</cp:lastPrinted>
  <dcterms:modified xsi:type="dcterms:W3CDTF">2025-06-23T19:06:24Z</dcterms:modified>
  <dc:title>遂宁市财政局关于公文处理工作的自查报告</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1EE77A30DB9A70F63035596874FBB2DC</vt:lpwstr>
  </property>
</Properties>
</file>