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43E6A">
      <w:pPr>
        <w:spacing w:line="600" w:lineRule="exact"/>
        <w:jc w:val="center"/>
        <w:rPr>
          <w:rFonts w:ascii="方正小标宋简体" w:eastAsia="方正小标宋简体"/>
          <w:sz w:val="44"/>
          <w:szCs w:val="44"/>
        </w:rPr>
      </w:pPr>
      <w:bookmarkStart w:id="0" w:name="_GoBack"/>
    </w:p>
    <w:p w14:paraId="02E1A935">
      <w:pPr>
        <w:spacing w:line="600" w:lineRule="exact"/>
        <w:jc w:val="center"/>
        <w:rPr>
          <w:rFonts w:ascii="方正小标宋简体" w:eastAsia="方正小标宋简体"/>
          <w:sz w:val="44"/>
          <w:szCs w:val="44"/>
        </w:rPr>
      </w:pPr>
    </w:p>
    <w:p w14:paraId="70B815B0">
      <w:pPr>
        <w:spacing w:line="600" w:lineRule="exact"/>
        <w:jc w:val="center"/>
        <w:rPr>
          <w:rFonts w:ascii="方正小标宋简体" w:eastAsia="方正小标宋简体"/>
          <w:sz w:val="44"/>
          <w:szCs w:val="44"/>
        </w:rPr>
      </w:pPr>
    </w:p>
    <w:p w14:paraId="433FB009">
      <w:pPr>
        <w:jc w:val="center"/>
        <w:rPr>
          <w:rFonts w:hint="eastAsia" w:ascii="方正小标宋简体" w:eastAsia="方正小标宋简体"/>
          <w:color w:val="auto"/>
          <w:sz w:val="52"/>
          <w:szCs w:val="52"/>
          <w:lang w:eastAsia="zh-CN"/>
        </w:rPr>
      </w:pPr>
      <w:r>
        <w:rPr>
          <w:rFonts w:hint="eastAsia" w:ascii="方正小标宋简体" w:eastAsia="方正小标宋简体"/>
          <w:color w:val="auto"/>
          <w:sz w:val="52"/>
          <w:szCs w:val="52"/>
          <w:lang w:eastAsia="zh-CN"/>
        </w:rPr>
        <w:t>遂宁市财政局</w:t>
      </w:r>
    </w:p>
    <w:p w14:paraId="6CAC7E08">
      <w:pPr>
        <w:jc w:val="center"/>
        <w:rPr>
          <w:rFonts w:ascii="方正小标宋简体" w:eastAsia="方正小标宋简体"/>
          <w:sz w:val="52"/>
          <w:szCs w:val="52"/>
        </w:rPr>
      </w:pPr>
      <w:r>
        <w:rPr>
          <w:rFonts w:hint="eastAsia" w:ascii="方正小标宋简体" w:eastAsia="方正小标宋简体"/>
          <w:sz w:val="52"/>
          <w:szCs w:val="52"/>
        </w:rPr>
        <w:t>20</w:t>
      </w:r>
      <w:r>
        <w:rPr>
          <w:rFonts w:hint="eastAsia" w:ascii="方正小标宋简体" w:eastAsia="方正小标宋简体"/>
          <w:sz w:val="52"/>
          <w:szCs w:val="52"/>
          <w:lang w:val="en-US" w:eastAsia="zh-CN"/>
        </w:rPr>
        <w:t>25</w:t>
      </w:r>
      <w:r>
        <w:rPr>
          <w:rFonts w:hint="eastAsia" w:ascii="方正小标宋简体" w:eastAsia="方正小标宋简体"/>
          <w:sz w:val="52"/>
          <w:szCs w:val="52"/>
        </w:rPr>
        <w:t>年部门预算</w:t>
      </w:r>
    </w:p>
    <w:p w14:paraId="3551D055">
      <w:pPr>
        <w:spacing w:line="600" w:lineRule="exact"/>
        <w:jc w:val="center"/>
        <w:rPr>
          <w:rFonts w:ascii="仿宋_GB2312"/>
          <w:color w:val="FF0000"/>
          <w:szCs w:val="44"/>
          <w:u w:val="single"/>
        </w:rPr>
      </w:pPr>
    </w:p>
    <w:p w14:paraId="5C6CF4F2">
      <w:pPr>
        <w:spacing w:line="600" w:lineRule="exact"/>
        <w:jc w:val="center"/>
        <w:rPr>
          <w:rFonts w:ascii="仿宋_GB2312"/>
          <w:szCs w:val="44"/>
        </w:rPr>
      </w:pPr>
    </w:p>
    <w:p w14:paraId="12689793">
      <w:pPr>
        <w:spacing w:line="600" w:lineRule="exact"/>
        <w:jc w:val="center"/>
        <w:rPr>
          <w:rFonts w:ascii="仿宋_GB2312"/>
          <w:szCs w:val="44"/>
        </w:rPr>
      </w:pPr>
    </w:p>
    <w:p w14:paraId="632D28CE">
      <w:pPr>
        <w:spacing w:line="600" w:lineRule="exact"/>
        <w:jc w:val="center"/>
        <w:rPr>
          <w:rFonts w:hint="eastAsia" w:ascii="仿宋_GB2312"/>
          <w:szCs w:val="44"/>
        </w:rPr>
      </w:pPr>
    </w:p>
    <w:p w14:paraId="65235D5B">
      <w:pPr>
        <w:spacing w:line="600" w:lineRule="exact"/>
        <w:jc w:val="center"/>
        <w:rPr>
          <w:rFonts w:ascii="黑体" w:hAnsi="黑体" w:eastAsia="黑体"/>
          <w:sz w:val="44"/>
          <w:szCs w:val="44"/>
        </w:rPr>
      </w:pPr>
      <w:r>
        <w:rPr>
          <w:rFonts w:ascii="仿宋_GB2312"/>
          <w:szCs w:val="44"/>
        </w:rPr>
        <w:br w:type="page"/>
      </w:r>
      <w:r>
        <w:rPr>
          <w:rFonts w:hint="eastAsia" w:ascii="黑体" w:hAnsi="黑体" w:eastAsia="黑体"/>
          <w:sz w:val="44"/>
          <w:szCs w:val="44"/>
        </w:rPr>
        <w:t>目  录</w:t>
      </w:r>
    </w:p>
    <w:p w14:paraId="6B15D871">
      <w:pPr>
        <w:spacing w:line="600" w:lineRule="exact"/>
        <w:jc w:val="center"/>
        <w:rPr>
          <w:rFonts w:ascii="仿宋_GB2312"/>
          <w:szCs w:val="44"/>
        </w:rPr>
      </w:pPr>
    </w:p>
    <w:p w14:paraId="3482200A">
      <w:pPr>
        <w:spacing w:line="600" w:lineRule="exact"/>
        <w:rPr>
          <w:rFonts w:ascii="黑体" w:hAnsi="黑体" w:eastAsia="黑体"/>
          <w:szCs w:val="44"/>
        </w:rPr>
      </w:pPr>
      <w:r>
        <w:rPr>
          <w:rFonts w:hint="eastAsia" w:ascii="黑体" w:hAnsi="黑体" w:eastAsia="黑体"/>
          <w:szCs w:val="44"/>
        </w:rPr>
        <w:t xml:space="preserve">第一部分  </w:t>
      </w:r>
      <w:r>
        <w:rPr>
          <w:rFonts w:ascii="黑体" w:hAnsi="黑体" w:eastAsia="黑体"/>
          <w:szCs w:val="44"/>
        </w:rPr>
        <w:t>20</w:t>
      </w:r>
      <w:r>
        <w:rPr>
          <w:rFonts w:hint="eastAsia" w:ascii="黑体" w:hAnsi="黑体" w:eastAsia="黑体"/>
          <w:szCs w:val="44"/>
          <w:lang w:val="en-US" w:eastAsia="zh-CN"/>
        </w:rPr>
        <w:t>25</w:t>
      </w:r>
      <w:r>
        <w:rPr>
          <w:rFonts w:hint="eastAsia" w:ascii="黑体" w:hAnsi="黑体" w:eastAsia="黑体"/>
          <w:szCs w:val="44"/>
        </w:rPr>
        <w:t>年部门</w:t>
      </w:r>
      <w:r>
        <w:rPr>
          <w:rFonts w:ascii="黑体" w:hAnsi="黑体" w:eastAsia="黑体"/>
          <w:szCs w:val="44"/>
        </w:rPr>
        <w:t>预算编制说明</w:t>
      </w:r>
    </w:p>
    <w:p w14:paraId="71969796">
      <w:pPr>
        <w:spacing w:line="600" w:lineRule="exact"/>
        <w:ind w:firstLine="632" w:firstLineChars="200"/>
        <w:rPr>
          <w:rFonts w:ascii="仿宋_GB2312"/>
          <w:szCs w:val="44"/>
        </w:rPr>
      </w:pPr>
      <w:r>
        <w:rPr>
          <w:rFonts w:hint="eastAsia" w:ascii="仿宋_GB2312"/>
          <w:szCs w:val="44"/>
        </w:rPr>
        <w:t>一、基本职能及主要工作</w:t>
      </w:r>
    </w:p>
    <w:p w14:paraId="40854736">
      <w:pPr>
        <w:spacing w:line="600" w:lineRule="exact"/>
        <w:ind w:firstLine="632" w:firstLineChars="200"/>
        <w:rPr>
          <w:rFonts w:ascii="仿宋_GB2312"/>
          <w:szCs w:val="44"/>
        </w:rPr>
      </w:pPr>
      <w:r>
        <w:rPr>
          <w:rFonts w:hint="eastAsia" w:ascii="仿宋_GB2312"/>
          <w:szCs w:val="44"/>
        </w:rPr>
        <w:t>二、部门预算单位构成</w:t>
      </w:r>
    </w:p>
    <w:p w14:paraId="291F9B04">
      <w:pPr>
        <w:spacing w:line="600" w:lineRule="exact"/>
        <w:ind w:firstLine="632" w:firstLineChars="200"/>
        <w:rPr>
          <w:rFonts w:ascii="仿宋_GB2312"/>
          <w:szCs w:val="44"/>
        </w:rPr>
      </w:pPr>
      <w:r>
        <w:rPr>
          <w:rFonts w:hint="eastAsia" w:ascii="仿宋_GB2312"/>
          <w:szCs w:val="44"/>
        </w:rPr>
        <w:t>三、收支预算情况说明</w:t>
      </w:r>
    </w:p>
    <w:p w14:paraId="61A57D18">
      <w:pPr>
        <w:spacing w:line="600" w:lineRule="exact"/>
        <w:ind w:firstLine="632" w:firstLineChars="200"/>
        <w:rPr>
          <w:rFonts w:ascii="仿宋_GB2312"/>
          <w:szCs w:val="44"/>
        </w:rPr>
      </w:pPr>
      <w:r>
        <w:rPr>
          <w:rFonts w:hint="eastAsia" w:ascii="仿宋_GB2312"/>
          <w:szCs w:val="44"/>
        </w:rPr>
        <w:t>四、财政拨款收支预算情况说明</w:t>
      </w:r>
    </w:p>
    <w:p w14:paraId="211CF6DE">
      <w:pPr>
        <w:spacing w:line="600" w:lineRule="exact"/>
        <w:ind w:firstLine="632" w:firstLineChars="200"/>
        <w:rPr>
          <w:rFonts w:ascii="仿宋_GB2312"/>
          <w:szCs w:val="44"/>
        </w:rPr>
      </w:pPr>
      <w:r>
        <w:rPr>
          <w:rFonts w:hint="eastAsia" w:ascii="仿宋_GB2312"/>
          <w:szCs w:val="44"/>
        </w:rPr>
        <w:t>五、一般公共预算当年拨款情况说明</w:t>
      </w:r>
    </w:p>
    <w:p w14:paraId="7AADDA52">
      <w:pPr>
        <w:spacing w:line="600" w:lineRule="exact"/>
        <w:ind w:firstLine="632" w:firstLineChars="200"/>
        <w:rPr>
          <w:rFonts w:hint="eastAsia" w:ascii="仿宋_GB2312"/>
          <w:szCs w:val="44"/>
        </w:rPr>
      </w:pPr>
      <w:r>
        <w:rPr>
          <w:rFonts w:hint="eastAsia" w:ascii="仿宋_GB2312"/>
          <w:szCs w:val="44"/>
        </w:rPr>
        <w:t>六、一般公共预算基本支出情况说明</w:t>
      </w:r>
    </w:p>
    <w:p w14:paraId="24995C0C">
      <w:pPr>
        <w:spacing w:line="600" w:lineRule="exact"/>
        <w:ind w:firstLine="632" w:firstLineChars="200"/>
        <w:rPr>
          <w:rFonts w:ascii="仿宋_GB2312"/>
          <w:szCs w:val="44"/>
        </w:rPr>
      </w:pPr>
      <w:r>
        <w:rPr>
          <w:rFonts w:hint="eastAsia" w:ascii="仿宋_GB2312"/>
          <w:szCs w:val="44"/>
        </w:rPr>
        <w:t>七、“三公”经费财政拨款预算安排情况说明</w:t>
      </w:r>
    </w:p>
    <w:p w14:paraId="2D6BDE3D">
      <w:pPr>
        <w:spacing w:line="600" w:lineRule="exact"/>
        <w:ind w:left="1264" w:leftChars="200" w:hanging="632" w:hangingChars="200"/>
        <w:rPr>
          <w:rFonts w:ascii="仿宋_GB2312"/>
          <w:szCs w:val="44"/>
        </w:rPr>
      </w:pPr>
      <w:r>
        <w:rPr>
          <w:rFonts w:hint="eastAsia" w:ascii="仿宋_GB2312"/>
          <w:szCs w:val="44"/>
        </w:rPr>
        <w:t>八、“会议费”、“培训费”、“差旅费”财政拨款预算安排情况说明</w:t>
      </w:r>
    </w:p>
    <w:p w14:paraId="6BD40F60">
      <w:pPr>
        <w:spacing w:line="600" w:lineRule="exact"/>
        <w:ind w:firstLine="632" w:firstLineChars="200"/>
        <w:rPr>
          <w:rFonts w:ascii="仿宋_GB2312"/>
          <w:szCs w:val="44"/>
        </w:rPr>
      </w:pPr>
      <w:r>
        <w:rPr>
          <w:rFonts w:hint="eastAsia" w:ascii="仿宋_GB2312"/>
          <w:szCs w:val="44"/>
        </w:rPr>
        <w:t>九、政府性基金预算支出情况说明</w:t>
      </w:r>
    </w:p>
    <w:p w14:paraId="54375376">
      <w:pPr>
        <w:spacing w:line="600" w:lineRule="exact"/>
        <w:ind w:firstLine="632" w:firstLineChars="200"/>
        <w:rPr>
          <w:rFonts w:ascii="仿宋_GB2312"/>
          <w:szCs w:val="44"/>
        </w:rPr>
      </w:pPr>
      <w:r>
        <w:rPr>
          <w:rFonts w:hint="eastAsia" w:ascii="仿宋_GB2312"/>
          <w:szCs w:val="44"/>
        </w:rPr>
        <w:t>十、国有资本经营预算支出情况说明</w:t>
      </w:r>
    </w:p>
    <w:p w14:paraId="6642A065">
      <w:pPr>
        <w:spacing w:line="600" w:lineRule="exact"/>
        <w:ind w:firstLine="632" w:firstLineChars="200"/>
        <w:rPr>
          <w:rFonts w:ascii="仿宋_GB2312"/>
          <w:szCs w:val="44"/>
        </w:rPr>
      </w:pPr>
      <w:r>
        <w:rPr>
          <w:rFonts w:hint="eastAsia" w:ascii="仿宋_GB2312"/>
          <w:szCs w:val="44"/>
        </w:rPr>
        <w:t>十一、其他重要事项的情况说明</w:t>
      </w:r>
    </w:p>
    <w:p w14:paraId="3D70E423">
      <w:pPr>
        <w:spacing w:line="600" w:lineRule="exact"/>
        <w:ind w:firstLine="632" w:firstLineChars="200"/>
        <w:rPr>
          <w:rFonts w:hint="eastAsia" w:ascii="仿宋_GB2312"/>
          <w:szCs w:val="44"/>
        </w:rPr>
      </w:pPr>
      <w:r>
        <w:rPr>
          <w:rFonts w:hint="eastAsia" w:ascii="仿宋_GB2312"/>
          <w:szCs w:val="44"/>
        </w:rPr>
        <w:t>十二</w:t>
      </w:r>
      <w:r>
        <w:rPr>
          <w:rFonts w:ascii="仿宋_GB2312"/>
          <w:szCs w:val="44"/>
        </w:rPr>
        <w:t>、名词解释</w:t>
      </w:r>
    </w:p>
    <w:p w14:paraId="65875B34">
      <w:pPr>
        <w:spacing w:line="600" w:lineRule="exact"/>
        <w:rPr>
          <w:rFonts w:ascii="黑体" w:hAnsi="黑体" w:eastAsia="黑体"/>
          <w:szCs w:val="44"/>
        </w:rPr>
      </w:pPr>
      <w:r>
        <w:rPr>
          <w:rFonts w:hint="eastAsia" w:ascii="黑体" w:hAnsi="黑体" w:eastAsia="黑体"/>
          <w:szCs w:val="44"/>
        </w:rPr>
        <w:t xml:space="preserve">第二部分  </w:t>
      </w:r>
      <w:r>
        <w:rPr>
          <w:rFonts w:ascii="黑体" w:hAnsi="黑体" w:eastAsia="黑体"/>
          <w:szCs w:val="44"/>
        </w:rPr>
        <w:t>20</w:t>
      </w:r>
      <w:r>
        <w:rPr>
          <w:rFonts w:hint="eastAsia" w:ascii="黑体" w:hAnsi="黑体" w:eastAsia="黑体"/>
          <w:szCs w:val="44"/>
          <w:lang w:val="en-US" w:eastAsia="zh-CN"/>
        </w:rPr>
        <w:t>25</w:t>
      </w:r>
      <w:r>
        <w:rPr>
          <w:rFonts w:hint="eastAsia" w:ascii="黑体" w:hAnsi="黑体" w:eastAsia="黑体"/>
          <w:szCs w:val="44"/>
        </w:rPr>
        <w:t>年</w:t>
      </w:r>
      <w:r>
        <w:rPr>
          <w:rFonts w:ascii="黑体" w:hAnsi="黑体" w:eastAsia="黑体"/>
          <w:szCs w:val="44"/>
        </w:rPr>
        <w:t>部门预算报表</w:t>
      </w:r>
    </w:p>
    <w:p w14:paraId="4FF92C18">
      <w:pPr>
        <w:spacing w:line="600" w:lineRule="exact"/>
        <w:ind w:firstLine="632" w:firstLineChars="200"/>
        <w:rPr>
          <w:rFonts w:hint="eastAsia" w:ascii="仿宋_GB2312"/>
          <w:szCs w:val="44"/>
        </w:rPr>
      </w:pPr>
      <w:r>
        <w:rPr>
          <w:rFonts w:hint="eastAsia" w:ascii="仿宋_GB2312"/>
          <w:szCs w:val="44"/>
        </w:rPr>
        <w:t>表1. 部门收支总表</w:t>
      </w:r>
    </w:p>
    <w:p w14:paraId="5DEC3C32">
      <w:pPr>
        <w:spacing w:line="600" w:lineRule="exact"/>
        <w:ind w:firstLine="632" w:firstLineChars="200"/>
        <w:rPr>
          <w:rFonts w:hint="eastAsia" w:ascii="仿宋_GB2312"/>
          <w:szCs w:val="44"/>
        </w:rPr>
      </w:pPr>
      <w:r>
        <w:rPr>
          <w:rFonts w:hint="eastAsia" w:ascii="仿宋_GB2312"/>
          <w:szCs w:val="44"/>
        </w:rPr>
        <w:t>表1-1. 部门收入总表</w:t>
      </w:r>
    </w:p>
    <w:p w14:paraId="2E0D763F">
      <w:pPr>
        <w:spacing w:line="600" w:lineRule="exact"/>
        <w:ind w:firstLine="632" w:firstLineChars="200"/>
        <w:rPr>
          <w:rFonts w:hint="eastAsia" w:ascii="仿宋_GB2312"/>
          <w:szCs w:val="44"/>
        </w:rPr>
      </w:pPr>
      <w:r>
        <w:rPr>
          <w:rFonts w:hint="eastAsia" w:ascii="仿宋_GB2312"/>
          <w:szCs w:val="44"/>
        </w:rPr>
        <w:t>表1-2. 部门支出总表</w:t>
      </w:r>
    </w:p>
    <w:p w14:paraId="3DEC49C2">
      <w:pPr>
        <w:spacing w:line="600" w:lineRule="exact"/>
        <w:ind w:firstLine="632" w:firstLineChars="200"/>
        <w:rPr>
          <w:rFonts w:hint="eastAsia" w:ascii="仿宋_GB2312"/>
          <w:szCs w:val="44"/>
        </w:rPr>
      </w:pPr>
      <w:r>
        <w:rPr>
          <w:rFonts w:hint="eastAsia" w:ascii="仿宋_GB2312"/>
          <w:szCs w:val="44"/>
        </w:rPr>
        <w:t>表2. 财政拨款收支预算总表</w:t>
      </w:r>
    </w:p>
    <w:p w14:paraId="532C79E9">
      <w:pPr>
        <w:spacing w:line="600" w:lineRule="exact"/>
        <w:ind w:firstLine="632" w:firstLineChars="200"/>
        <w:rPr>
          <w:rFonts w:hint="eastAsia" w:ascii="仿宋_GB2312"/>
          <w:szCs w:val="44"/>
        </w:rPr>
      </w:pPr>
      <w:r>
        <w:rPr>
          <w:rFonts w:hint="eastAsia" w:ascii="仿宋_GB2312"/>
          <w:szCs w:val="44"/>
        </w:rPr>
        <w:t>表2-1. 财政拨款支出预算表（政府经济分类科目）</w:t>
      </w:r>
    </w:p>
    <w:p w14:paraId="7892DC6A">
      <w:pPr>
        <w:spacing w:line="600" w:lineRule="exact"/>
        <w:ind w:firstLine="632" w:firstLineChars="200"/>
        <w:rPr>
          <w:rFonts w:hint="eastAsia" w:ascii="仿宋_GB2312"/>
          <w:szCs w:val="44"/>
        </w:rPr>
      </w:pPr>
      <w:r>
        <w:rPr>
          <w:rFonts w:hint="eastAsia" w:ascii="仿宋_GB2312"/>
          <w:szCs w:val="44"/>
        </w:rPr>
        <w:t>表3. 一般公共预算支出预算表</w:t>
      </w:r>
    </w:p>
    <w:p w14:paraId="559321D4">
      <w:pPr>
        <w:spacing w:line="600" w:lineRule="exact"/>
        <w:ind w:firstLine="632" w:firstLineChars="200"/>
        <w:rPr>
          <w:rFonts w:hint="eastAsia" w:ascii="仿宋_GB2312"/>
          <w:szCs w:val="44"/>
        </w:rPr>
      </w:pPr>
      <w:r>
        <w:rPr>
          <w:rFonts w:hint="eastAsia" w:ascii="仿宋_GB2312"/>
          <w:szCs w:val="44"/>
        </w:rPr>
        <w:t>表3-1. 一般公共预算基本支出预算表</w:t>
      </w:r>
    </w:p>
    <w:p w14:paraId="08B89031">
      <w:pPr>
        <w:spacing w:line="600" w:lineRule="exact"/>
        <w:ind w:firstLine="632" w:firstLineChars="200"/>
        <w:rPr>
          <w:rFonts w:hint="eastAsia" w:ascii="仿宋_GB2312"/>
          <w:szCs w:val="44"/>
        </w:rPr>
      </w:pPr>
      <w:r>
        <w:rPr>
          <w:rFonts w:hint="eastAsia" w:ascii="仿宋_GB2312"/>
          <w:szCs w:val="44"/>
        </w:rPr>
        <w:t>表3-2. 一般公共预算项目支出预算表</w:t>
      </w:r>
    </w:p>
    <w:p w14:paraId="6D2F2644">
      <w:pPr>
        <w:spacing w:line="600" w:lineRule="exact"/>
        <w:ind w:firstLine="632" w:firstLineChars="200"/>
        <w:rPr>
          <w:rFonts w:hint="eastAsia" w:ascii="仿宋_GB2312"/>
          <w:szCs w:val="44"/>
        </w:rPr>
      </w:pPr>
      <w:r>
        <w:rPr>
          <w:rFonts w:hint="eastAsia" w:ascii="仿宋_GB2312"/>
          <w:szCs w:val="44"/>
        </w:rPr>
        <w:t>表3-3. 一般公共预算“三公”经费支出预算表</w:t>
      </w:r>
    </w:p>
    <w:p w14:paraId="2CFAC295">
      <w:pPr>
        <w:spacing w:line="600" w:lineRule="exact"/>
        <w:ind w:firstLine="632" w:firstLineChars="200"/>
        <w:rPr>
          <w:rFonts w:hint="eastAsia" w:ascii="仿宋_GB2312"/>
          <w:szCs w:val="44"/>
        </w:rPr>
      </w:pPr>
      <w:r>
        <w:rPr>
          <w:rFonts w:hint="eastAsia" w:ascii="仿宋_GB2312"/>
          <w:szCs w:val="44"/>
        </w:rPr>
        <w:t>表4. 政府性基金支出预算表</w:t>
      </w:r>
    </w:p>
    <w:p w14:paraId="13C54E67">
      <w:pPr>
        <w:spacing w:line="600" w:lineRule="exact"/>
        <w:ind w:firstLine="632" w:firstLineChars="200"/>
        <w:rPr>
          <w:rFonts w:hint="eastAsia" w:ascii="仿宋_GB2312"/>
          <w:szCs w:val="44"/>
        </w:rPr>
      </w:pPr>
      <w:r>
        <w:rPr>
          <w:rFonts w:hint="eastAsia" w:ascii="仿宋_GB2312"/>
          <w:szCs w:val="44"/>
        </w:rPr>
        <w:t>表4-1. 政府性基金预算“三公”经费支出预算表</w:t>
      </w:r>
    </w:p>
    <w:p w14:paraId="7458B004">
      <w:pPr>
        <w:spacing w:line="600" w:lineRule="exact"/>
        <w:ind w:firstLine="632" w:firstLineChars="200"/>
        <w:rPr>
          <w:rFonts w:ascii="仿宋_GB2312"/>
          <w:szCs w:val="44"/>
        </w:rPr>
      </w:pPr>
      <w:r>
        <w:rPr>
          <w:rFonts w:hint="eastAsia" w:ascii="仿宋_GB2312"/>
          <w:szCs w:val="44"/>
        </w:rPr>
        <w:t>表5. 国有资本经营预算支出预算表</w:t>
      </w:r>
    </w:p>
    <w:p w14:paraId="0F3B92F6">
      <w:pPr>
        <w:spacing w:line="600" w:lineRule="exact"/>
        <w:ind w:firstLine="632" w:firstLineChars="200"/>
        <w:rPr>
          <w:rFonts w:hint="eastAsia" w:ascii="仿宋_GB2312"/>
          <w:szCs w:val="44"/>
        </w:rPr>
      </w:pPr>
      <w:r>
        <w:rPr>
          <w:rFonts w:hint="eastAsia" w:ascii="仿宋_GB2312"/>
          <w:szCs w:val="44"/>
        </w:rPr>
        <w:t>表</w:t>
      </w:r>
      <w:r>
        <w:rPr>
          <w:rFonts w:hint="eastAsia" w:ascii="仿宋_GB2312"/>
          <w:szCs w:val="44"/>
          <w:lang w:val="en-US" w:eastAsia="zh-CN"/>
        </w:rPr>
        <w:t>6</w:t>
      </w:r>
      <w:r>
        <w:rPr>
          <w:rFonts w:hint="eastAsia" w:ascii="仿宋_GB2312"/>
          <w:szCs w:val="44"/>
        </w:rPr>
        <w:t>.</w:t>
      </w:r>
      <w:r>
        <w:rPr>
          <w:rFonts w:ascii="仿宋_GB2312"/>
          <w:szCs w:val="44"/>
        </w:rPr>
        <w:t xml:space="preserve"> </w:t>
      </w:r>
      <w:r>
        <w:rPr>
          <w:rFonts w:hint="eastAsia" w:ascii="仿宋_GB2312"/>
          <w:szCs w:val="44"/>
        </w:rPr>
        <w:t>部门预算项目支出绩效目标表</w:t>
      </w:r>
    </w:p>
    <w:p w14:paraId="3E346110">
      <w:pPr>
        <w:spacing w:line="600" w:lineRule="exact"/>
        <w:ind w:firstLine="632" w:firstLineChars="200"/>
        <w:rPr>
          <w:rFonts w:hint="default" w:ascii="仿宋_GB2312" w:eastAsia="仿宋_GB2312"/>
          <w:szCs w:val="44"/>
          <w:lang w:val="en-US" w:eastAsia="zh-CN"/>
        </w:rPr>
      </w:pPr>
      <w:r>
        <w:rPr>
          <w:rFonts w:hint="eastAsia" w:ascii="仿宋_GB2312"/>
          <w:szCs w:val="44"/>
          <w:lang w:eastAsia="zh-CN"/>
        </w:rPr>
        <w:t>表</w:t>
      </w:r>
      <w:r>
        <w:rPr>
          <w:rFonts w:hint="eastAsia" w:ascii="仿宋_GB2312"/>
          <w:szCs w:val="44"/>
          <w:lang w:val="en-US" w:eastAsia="zh-CN"/>
        </w:rPr>
        <w:t>7. 部门整体支出绩效目标表</w:t>
      </w:r>
    </w:p>
    <w:p w14:paraId="6BBFCFF4">
      <w:pPr>
        <w:spacing w:line="600" w:lineRule="exact"/>
        <w:rPr>
          <w:rFonts w:ascii="仿宋_GB2312"/>
          <w:szCs w:val="44"/>
        </w:rPr>
      </w:pPr>
    </w:p>
    <w:p w14:paraId="5406C7E6">
      <w:pPr>
        <w:spacing w:line="600" w:lineRule="exact"/>
        <w:rPr>
          <w:rFonts w:hint="eastAsia" w:ascii="仿宋_GB2312"/>
          <w:szCs w:val="44"/>
        </w:rPr>
      </w:pPr>
    </w:p>
    <w:p w14:paraId="2A3DEFA7">
      <w:pPr>
        <w:spacing w:line="600" w:lineRule="exact"/>
        <w:jc w:val="center"/>
        <w:rPr>
          <w:rFonts w:hint="eastAsia" w:ascii="方正小标宋简体" w:hAnsi="Times New Roman" w:eastAsia="方正小标宋简体" w:cs="Times New Roman"/>
          <w:sz w:val="44"/>
          <w:szCs w:val="44"/>
          <w:lang w:eastAsia="zh-CN"/>
        </w:rPr>
      </w:pPr>
      <w:r>
        <w:rPr>
          <w:rFonts w:ascii="仿宋_GB2312"/>
          <w:szCs w:val="44"/>
        </w:rPr>
        <w:br w:type="page"/>
      </w:r>
      <w:r>
        <w:rPr>
          <w:rFonts w:hint="eastAsia" w:ascii="方正小标宋简体" w:hAnsi="Times New Roman" w:eastAsia="方正小标宋简体" w:cs="Times New Roman"/>
          <w:sz w:val="44"/>
          <w:szCs w:val="44"/>
          <w:lang w:eastAsia="zh-CN"/>
        </w:rPr>
        <w:t>遂宁市财政局</w:t>
      </w:r>
    </w:p>
    <w:p w14:paraId="1F78F5DC">
      <w:pPr>
        <w:spacing w:line="600" w:lineRule="exact"/>
        <w:jc w:val="cente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25</w:t>
      </w:r>
      <w:r>
        <w:rPr>
          <w:rFonts w:hint="eastAsia" w:ascii="方正小标宋简体" w:eastAsia="方正小标宋简体"/>
          <w:sz w:val="44"/>
          <w:szCs w:val="44"/>
        </w:rPr>
        <w:t>年部门预算编制说明</w:t>
      </w:r>
    </w:p>
    <w:p w14:paraId="26950A9B">
      <w:pPr>
        <w:spacing w:line="600" w:lineRule="exact"/>
        <w:ind w:firstLine="632" w:firstLineChars="200"/>
        <w:rPr>
          <w:rFonts w:ascii="黑体" w:hAnsi="黑体" w:eastAsia="黑体"/>
        </w:rPr>
      </w:pPr>
    </w:p>
    <w:p w14:paraId="7AE7B3F3">
      <w:pPr>
        <w:spacing w:line="600" w:lineRule="exact"/>
        <w:ind w:firstLine="632" w:firstLineChars="200"/>
        <w:rPr>
          <w:rFonts w:ascii="黑体" w:hAnsi="黑体" w:eastAsia="黑体"/>
        </w:rPr>
      </w:pPr>
      <w:r>
        <w:rPr>
          <w:rFonts w:ascii="黑体" w:hAnsi="黑体" w:eastAsia="黑体"/>
        </w:rPr>
        <w:t>一、基本职能及主要工作</w:t>
      </w:r>
    </w:p>
    <w:p w14:paraId="01EF30CF">
      <w:pPr>
        <w:spacing w:line="600" w:lineRule="exact"/>
        <w:ind w:firstLine="632" w:firstLineChars="200"/>
        <w:rPr>
          <w:rFonts w:ascii="楷体_GB2312" w:eastAsia="楷体_GB2312"/>
          <w:b/>
        </w:rPr>
      </w:pPr>
      <w:r>
        <w:rPr>
          <w:rFonts w:hint="eastAsia" w:ascii="楷体_GB2312" w:eastAsia="楷体_GB2312"/>
          <w:b/>
        </w:rPr>
        <w:t>（一）</w:t>
      </w:r>
      <w:r>
        <w:rPr>
          <w:rFonts w:hint="eastAsia" w:ascii="楷体_GB2312" w:eastAsia="楷体_GB2312"/>
          <w:b/>
          <w:color w:val="auto"/>
        </w:rPr>
        <w:t xml:space="preserve"> </w:t>
      </w:r>
      <w:r>
        <w:rPr>
          <w:rFonts w:hint="eastAsia" w:ascii="楷体_GB2312" w:eastAsia="楷体_GB2312"/>
          <w:b/>
          <w:color w:val="auto"/>
          <w:lang w:eastAsia="zh-CN"/>
        </w:rPr>
        <w:t>遂宁市财政局</w:t>
      </w:r>
      <w:r>
        <w:rPr>
          <w:rFonts w:hint="eastAsia" w:ascii="楷体_GB2312" w:eastAsia="楷体_GB2312"/>
          <w:b/>
          <w:color w:val="auto"/>
        </w:rPr>
        <w:t>职</w:t>
      </w:r>
      <w:r>
        <w:rPr>
          <w:rFonts w:hint="eastAsia" w:ascii="楷体_GB2312" w:eastAsia="楷体_GB2312"/>
          <w:b/>
        </w:rPr>
        <w:t>能简介</w:t>
      </w:r>
    </w:p>
    <w:p w14:paraId="0946AA0C">
      <w:pPr>
        <w:snapToGrid w:val="0"/>
        <w:spacing w:line="520" w:lineRule="exact"/>
        <w:ind w:firstLine="632" w:firstLineChars="200"/>
        <w:rPr>
          <w:rFonts w:hint="eastAsia" w:ascii="仿宋_GB2312" w:hAnsi="仿宋" w:eastAsia="仿宋_GB2312" w:cs="Times New Roman"/>
          <w:sz w:val="32"/>
          <w:szCs w:val="32"/>
          <w:highlight w:val="none"/>
        </w:rPr>
      </w:pPr>
      <w:r>
        <w:rPr>
          <w:rFonts w:hint="eastAsia" w:ascii="仿宋_GB2312" w:hAnsi="仿宋" w:cs="Times New Roman"/>
          <w:sz w:val="32"/>
          <w:szCs w:val="32"/>
          <w:highlight w:val="none"/>
          <w:lang w:val="en-US" w:eastAsia="zh-CN"/>
        </w:rPr>
        <w:t>1.</w:t>
      </w:r>
      <w:r>
        <w:rPr>
          <w:rFonts w:hint="eastAsia" w:ascii="仿宋_GB2312" w:hAnsi="仿宋" w:eastAsia="仿宋_GB2312" w:cs="Times New Roman"/>
          <w:sz w:val="32"/>
          <w:szCs w:val="32"/>
          <w:highlight w:val="none"/>
        </w:rPr>
        <w:t>拟订全市财税、金融业发展规划、政策和改革方案并组织实施。分析预测宏观经济形势，参与制定宏观经济政策，提出运用财税政策实施宏观调控和综合平衡社会财力的建议。拟订市与县（市、区）、市直园区，市政府与企业的分配政策，完善鼓励公益事业发展的财税政策。</w:t>
      </w:r>
    </w:p>
    <w:p w14:paraId="05141AE1">
      <w:pPr>
        <w:snapToGrid w:val="0"/>
        <w:spacing w:line="520" w:lineRule="exact"/>
        <w:ind w:firstLine="632" w:firstLineChars="200"/>
        <w:rPr>
          <w:rFonts w:hint="eastAsia" w:ascii="仿宋_GB2312" w:hAnsi="仿宋" w:eastAsia="仿宋_GB2312" w:cs="Times New Roman"/>
          <w:sz w:val="32"/>
          <w:szCs w:val="32"/>
          <w:highlight w:val="none"/>
        </w:rPr>
      </w:pPr>
      <w:r>
        <w:rPr>
          <w:rFonts w:hint="eastAsia" w:ascii="仿宋_GB2312" w:hAnsi="仿宋" w:cs="Times New Roman"/>
          <w:sz w:val="32"/>
          <w:szCs w:val="32"/>
          <w:highlight w:val="none"/>
          <w:lang w:val="en-US" w:eastAsia="zh-CN"/>
        </w:rPr>
        <w:t>2.</w:t>
      </w:r>
      <w:r>
        <w:rPr>
          <w:rFonts w:hint="eastAsia" w:ascii="仿宋_GB2312" w:hAnsi="仿宋" w:eastAsia="仿宋_GB2312" w:cs="Times New Roman"/>
          <w:sz w:val="32"/>
          <w:szCs w:val="32"/>
          <w:highlight w:val="none"/>
        </w:rPr>
        <w:t>引导金融机构提升服务实体经济能力，推动地方金融改革创新，促进地方金融机构合理布局和金融资源优化配置。统筹推进全市直接融资。配合推动地方金融组织统计体系建设。推动地方金融对外交流合作、金融知识宣传普及工作。</w:t>
      </w:r>
    </w:p>
    <w:p w14:paraId="5EAC248C">
      <w:pPr>
        <w:snapToGrid w:val="0"/>
        <w:spacing w:line="520" w:lineRule="exact"/>
        <w:ind w:firstLine="632" w:firstLineChars="200"/>
        <w:rPr>
          <w:rFonts w:hint="eastAsia" w:ascii="仿宋_GB2312" w:hAnsi="仿宋" w:eastAsia="仿宋_GB2312" w:cs="Times New Roman"/>
          <w:sz w:val="32"/>
          <w:szCs w:val="32"/>
          <w:highlight w:val="none"/>
        </w:rPr>
      </w:pPr>
      <w:r>
        <w:rPr>
          <w:rFonts w:hint="eastAsia" w:ascii="仿宋_GB2312" w:hAnsi="仿宋" w:cs="Times New Roman"/>
          <w:sz w:val="32"/>
          <w:szCs w:val="32"/>
          <w:highlight w:val="none"/>
          <w:lang w:val="en-US" w:eastAsia="zh-CN"/>
        </w:rPr>
        <w:t>3.</w:t>
      </w:r>
      <w:r>
        <w:rPr>
          <w:rFonts w:hint="eastAsia" w:ascii="仿宋_GB2312" w:hAnsi="仿宋" w:eastAsia="仿宋_GB2312" w:cs="Times New Roman"/>
          <w:sz w:val="32"/>
          <w:szCs w:val="32"/>
          <w:highlight w:val="none"/>
        </w:rPr>
        <w:t>贯彻执行财政、税收、金融、财务、会计管理的法律、法规和规章。负责组织起草地方财税实施办法和管理制度并组织实施。按照管理权限管理全市税政事项，承办国务院关税税则委员会办公室要求市一级承担的工作。</w:t>
      </w:r>
    </w:p>
    <w:p w14:paraId="0DDFE454">
      <w:pPr>
        <w:snapToGrid w:val="0"/>
        <w:spacing w:line="520" w:lineRule="exact"/>
        <w:ind w:firstLine="632" w:firstLineChars="200"/>
        <w:rPr>
          <w:rFonts w:hint="eastAsia" w:ascii="仿宋_GB2312" w:hAnsi="仿宋" w:eastAsia="仿宋_GB2312" w:cs="Times New Roman"/>
          <w:sz w:val="32"/>
          <w:szCs w:val="32"/>
          <w:highlight w:val="none"/>
        </w:rPr>
      </w:pPr>
      <w:r>
        <w:rPr>
          <w:rFonts w:hint="eastAsia" w:ascii="仿宋_GB2312" w:hAnsi="仿宋" w:cs="Times New Roman"/>
          <w:sz w:val="32"/>
          <w:szCs w:val="32"/>
          <w:highlight w:val="none"/>
          <w:lang w:val="en-US" w:eastAsia="zh-CN"/>
        </w:rPr>
        <w:t>4.</w:t>
      </w:r>
      <w:r>
        <w:rPr>
          <w:rFonts w:hint="eastAsia" w:ascii="仿宋_GB2312" w:hAnsi="仿宋" w:eastAsia="仿宋_GB2312" w:cs="Times New Roman"/>
          <w:sz w:val="32"/>
          <w:szCs w:val="32"/>
          <w:highlight w:val="none"/>
        </w:rPr>
        <w:t>负责管理各项财政收支。编制年度市级预决算草案并组织执行。组织制定全市经费开支标准、定额，审核批复部门（单位）年度预决算，完善转移支付制度。受市政府委托，向市人民代表大会及其常委会报告财政预算、执行和决算等情况。负责政府投资基金市本级财政出资的资产管理。负责市本级预决算公开。负责全面实施预算绩效管理。</w:t>
      </w:r>
    </w:p>
    <w:p w14:paraId="66AD4D6B">
      <w:pPr>
        <w:snapToGrid w:val="0"/>
        <w:spacing w:line="520" w:lineRule="exact"/>
        <w:ind w:firstLine="632" w:firstLineChars="200"/>
        <w:rPr>
          <w:rFonts w:hint="eastAsia" w:ascii="仿宋_GB2312" w:hAnsi="仿宋" w:eastAsia="仿宋_GB2312" w:cs="Times New Roman"/>
          <w:sz w:val="32"/>
          <w:szCs w:val="32"/>
          <w:highlight w:val="none"/>
        </w:rPr>
      </w:pPr>
      <w:r>
        <w:rPr>
          <w:rFonts w:hint="eastAsia" w:ascii="仿宋_GB2312" w:hAnsi="仿宋" w:cs="Times New Roman"/>
          <w:sz w:val="32"/>
          <w:szCs w:val="32"/>
          <w:highlight w:val="none"/>
          <w:lang w:val="en-US" w:eastAsia="zh-CN"/>
        </w:rPr>
        <w:t>5.</w:t>
      </w:r>
      <w:r>
        <w:rPr>
          <w:rFonts w:hint="eastAsia" w:ascii="仿宋_GB2312" w:hAnsi="仿宋" w:eastAsia="仿宋_GB2312" w:cs="Times New Roman"/>
          <w:sz w:val="32"/>
          <w:szCs w:val="32"/>
          <w:highlight w:val="none"/>
        </w:rPr>
        <w:t>按照管理权限负责政府非税收入管理。负责政府性基金管理，按规定管理行政事业性收费。管理财政票据。按规定管理彩票资金。负责对本行政区域内住房公积金归集、提取和使用情况的监督。</w:t>
      </w:r>
    </w:p>
    <w:p w14:paraId="45364E33">
      <w:pPr>
        <w:snapToGrid w:val="0"/>
        <w:spacing w:line="520" w:lineRule="exact"/>
        <w:ind w:firstLine="632" w:firstLineChars="200"/>
        <w:rPr>
          <w:rFonts w:hint="eastAsia" w:ascii="仿宋_GB2312" w:hAnsi="仿宋" w:eastAsia="仿宋_GB2312" w:cs="Times New Roman"/>
          <w:sz w:val="32"/>
          <w:szCs w:val="32"/>
          <w:highlight w:val="none"/>
        </w:rPr>
      </w:pPr>
      <w:r>
        <w:rPr>
          <w:rFonts w:hint="eastAsia" w:ascii="仿宋_GB2312" w:hAnsi="仿宋" w:cs="Times New Roman"/>
          <w:sz w:val="32"/>
          <w:szCs w:val="32"/>
          <w:highlight w:val="none"/>
          <w:lang w:val="en-US" w:eastAsia="zh-CN"/>
        </w:rPr>
        <w:t>6.</w:t>
      </w:r>
      <w:r>
        <w:rPr>
          <w:rFonts w:hint="eastAsia" w:ascii="仿宋_GB2312" w:hAnsi="仿宋" w:eastAsia="仿宋_GB2312" w:cs="Times New Roman"/>
          <w:sz w:val="32"/>
          <w:szCs w:val="32"/>
          <w:highlight w:val="none"/>
        </w:rPr>
        <w:t>组织实施国库管理制度、国库集中收付制度，指导和监督国库业务，开展国库现金管理工作，贯彻执行政府财务报告编制办法并组织实施。负责制定全市政府采购制度并监督管理。</w:t>
      </w:r>
    </w:p>
    <w:p w14:paraId="1448B20E">
      <w:pPr>
        <w:snapToGrid w:val="0"/>
        <w:spacing w:line="520" w:lineRule="exact"/>
        <w:ind w:firstLine="632" w:firstLineChars="200"/>
        <w:rPr>
          <w:rFonts w:hint="eastAsia" w:ascii="仿宋_GB2312" w:hAnsi="仿宋" w:eastAsia="仿宋_GB2312" w:cs="Times New Roman"/>
          <w:sz w:val="32"/>
          <w:szCs w:val="32"/>
          <w:highlight w:val="none"/>
        </w:rPr>
      </w:pPr>
      <w:r>
        <w:rPr>
          <w:rFonts w:hint="eastAsia" w:ascii="仿宋_GB2312" w:hAnsi="仿宋" w:cs="Times New Roman"/>
          <w:sz w:val="32"/>
          <w:szCs w:val="32"/>
          <w:highlight w:val="none"/>
          <w:lang w:val="en-US" w:eastAsia="zh-CN"/>
        </w:rPr>
        <w:t>7.</w:t>
      </w:r>
      <w:r>
        <w:rPr>
          <w:rFonts w:hint="eastAsia" w:ascii="仿宋_GB2312" w:hAnsi="仿宋" w:eastAsia="仿宋_GB2312" w:cs="Times New Roman"/>
          <w:sz w:val="32"/>
          <w:szCs w:val="32"/>
          <w:highlight w:val="none"/>
        </w:rPr>
        <w:t>贯彻执行地方政府债务管理制度和政策，制定具体管理办法，编制地方政府债务余额限额计划，统一管理政府外债，防范财政风险。</w:t>
      </w:r>
    </w:p>
    <w:p w14:paraId="77AB3C80">
      <w:pPr>
        <w:snapToGrid w:val="0"/>
        <w:spacing w:line="520" w:lineRule="exact"/>
        <w:ind w:firstLine="632" w:firstLineChars="200"/>
        <w:rPr>
          <w:rFonts w:hint="eastAsia" w:ascii="仿宋_GB2312" w:hAnsi="仿宋" w:eastAsia="仿宋_GB2312" w:cs="Times New Roman"/>
          <w:sz w:val="32"/>
          <w:szCs w:val="32"/>
          <w:highlight w:val="none"/>
        </w:rPr>
      </w:pPr>
      <w:r>
        <w:rPr>
          <w:rFonts w:hint="eastAsia" w:ascii="仿宋_GB2312" w:hAnsi="仿宋" w:cs="Times New Roman"/>
          <w:sz w:val="32"/>
          <w:szCs w:val="32"/>
          <w:highlight w:val="none"/>
          <w:lang w:val="en-US" w:eastAsia="zh-CN"/>
        </w:rPr>
        <w:t>8.</w:t>
      </w:r>
      <w:r>
        <w:rPr>
          <w:rFonts w:hint="eastAsia" w:ascii="仿宋_GB2312" w:hAnsi="仿宋" w:eastAsia="仿宋_GB2312" w:cs="Times New Roman"/>
          <w:sz w:val="32"/>
          <w:szCs w:val="32"/>
          <w:highlight w:val="none"/>
        </w:rPr>
        <w:t>牵头编制全市国有资产管理情况报告。根据市政府授权，集中统一履行市本级国有金融资本出资人职责。制定市级国有金融资本管理制度。拟订全市行政事业单位国有资产管理规章制度并组织实施。制定需要全市统一规定的开支标准和支出政策。</w:t>
      </w:r>
    </w:p>
    <w:p w14:paraId="1773C361">
      <w:pPr>
        <w:snapToGrid w:val="0"/>
        <w:spacing w:line="520" w:lineRule="exact"/>
        <w:ind w:firstLine="632" w:firstLineChars="200"/>
        <w:rPr>
          <w:rFonts w:hint="eastAsia" w:ascii="仿宋_GB2312" w:hAnsi="仿宋" w:eastAsia="仿宋_GB2312" w:cs="Times New Roman"/>
          <w:sz w:val="32"/>
          <w:szCs w:val="32"/>
          <w:highlight w:val="none"/>
        </w:rPr>
      </w:pPr>
      <w:r>
        <w:rPr>
          <w:rFonts w:hint="eastAsia" w:ascii="仿宋_GB2312" w:hAnsi="仿宋" w:cs="Times New Roman"/>
          <w:sz w:val="32"/>
          <w:szCs w:val="32"/>
          <w:highlight w:val="none"/>
          <w:lang w:val="en-US" w:eastAsia="zh-CN"/>
        </w:rPr>
        <w:t>9.</w:t>
      </w:r>
      <w:r>
        <w:rPr>
          <w:rFonts w:hint="eastAsia" w:ascii="仿宋_GB2312" w:hAnsi="仿宋" w:eastAsia="仿宋_GB2312" w:cs="Times New Roman"/>
          <w:sz w:val="32"/>
          <w:szCs w:val="32"/>
          <w:highlight w:val="none"/>
        </w:rPr>
        <w:t>负责审核并汇总编制全市国有资本经营预决算草案。制定国有资本经营预算的制度和办法，收取市本级企业国有资本收益。组织实施企业财务制度，负责财政预算内行政事业单位和社会团体的非贸易和财政预算内的国际收支管理。</w:t>
      </w:r>
    </w:p>
    <w:p w14:paraId="4779B17E">
      <w:pPr>
        <w:snapToGrid w:val="0"/>
        <w:spacing w:line="520" w:lineRule="exact"/>
        <w:ind w:firstLine="632" w:firstLineChars="200"/>
        <w:rPr>
          <w:rFonts w:hint="eastAsia" w:ascii="仿宋_GB2312" w:hAnsi="仿宋" w:eastAsia="仿宋_GB2312" w:cs="Times New Roman"/>
          <w:sz w:val="32"/>
          <w:szCs w:val="32"/>
          <w:highlight w:val="none"/>
        </w:rPr>
      </w:pPr>
      <w:r>
        <w:rPr>
          <w:rFonts w:hint="eastAsia" w:ascii="仿宋_GB2312" w:hAnsi="仿宋" w:cs="Times New Roman"/>
          <w:sz w:val="32"/>
          <w:szCs w:val="32"/>
          <w:highlight w:val="none"/>
          <w:lang w:val="en-US" w:eastAsia="zh-CN"/>
        </w:rPr>
        <w:t>10.</w:t>
      </w:r>
      <w:r>
        <w:rPr>
          <w:rFonts w:hint="eastAsia" w:ascii="仿宋_GB2312" w:hAnsi="仿宋" w:eastAsia="仿宋_GB2312" w:cs="Times New Roman"/>
          <w:sz w:val="32"/>
          <w:szCs w:val="32"/>
          <w:highlight w:val="none"/>
        </w:rPr>
        <w:t>负责审核并汇总编制全市社会保险基本预决算草案，会同有关部门拟定有关资金（基金）财务管理制度。承担社会保险基金财政监管工作。</w:t>
      </w:r>
    </w:p>
    <w:p w14:paraId="28349774">
      <w:pPr>
        <w:snapToGrid w:val="0"/>
        <w:spacing w:line="520" w:lineRule="exact"/>
        <w:ind w:firstLine="632" w:firstLineChars="200"/>
        <w:rPr>
          <w:rFonts w:hint="eastAsia" w:ascii="仿宋_GB2312" w:hAnsi="仿宋" w:eastAsia="仿宋_GB2312" w:cs="Times New Roman"/>
          <w:sz w:val="32"/>
          <w:szCs w:val="32"/>
          <w:highlight w:val="none"/>
        </w:rPr>
      </w:pPr>
      <w:r>
        <w:rPr>
          <w:rFonts w:hint="eastAsia" w:ascii="仿宋_GB2312" w:hAnsi="仿宋" w:cs="Times New Roman"/>
          <w:sz w:val="32"/>
          <w:szCs w:val="32"/>
          <w:highlight w:val="none"/>
          <w:lang w:val="en-US" w:eastAsia="zh-CN"/>
        </w:rPr>
        <w:t>11.</w:t>
      </w:r>
      <w:r>
        <w:rPr>
          <w:rFonts w:hint="eastAsia" w:ascii="仿宋_GB2312" w:hAnsi="仿宋" w:eastAsia="仿宋_GB2312" w:cs="Times New Roman"/>
          <w:sz w:val="32"/>
          <w:szCs w:val="32"/>
          <w:highlight w:val="none"/>
        </w:rPr>
        <w:t>负责办理和监督市本级财政的经济发展支出、市本级政府性投资项目的财政拨款，负责投资评审管理工作，参与拟订市级基建投资有关政策，制定基建财务管理制度。</w:t>
      </w:r>
    </w:p>
    <w:p w14:paraId="7FF2A545">
      <w:pPr>
        <w:snapToGrid w:val="0"/>
        <w:spacing w:line="520" w:lineRule="exact"/>
        <w:ind w:firstLine="632" w:firstLineChars="200"/>
        <w:rPr>
          <w:rFonts w:hint="eastAsia" w:ascii="仿宋_GB2312" w:hAnsi="仿宋" w:eastAsia="仿宋_GB2312" w:cs="Times New Roman"/>
          <w:sz w:val="32"/>
          <w:szCs w:val="32"/>
          <w:highlight w:val="none"/>
        </w:rPr>
      </w:pPr>
      <w:r>
        <w:rPr>
          <w:rFonts w:hint="eastAsia" w:ascii="仿宋_GB2312" w:hAnsi="仿宋" w:cs="Times New Roman"/>
          <w:sz w:val="32"/>
          <w:szCs w:val="32"/>
          <w:highlight w:val="none"/>
          <w:lang w:val="en-US" w:eastAsia="zh-CN"/>
        </w:rPr>
        <w:t>12.</w:t>
      </w:r>
      <w:r>
        <w:rPr>
          <w:rFonts w:hint="eastAsia" w:ascii="仿宋_GB2312" w:hAnsi="仿宋" w:eastAsia="仿宋_GB2312" w:cs="Times New Roman"/>
          <w:sz w:val="32"/>
          <w:szCs w:val="32"/>
          <w:highlight w:val="none"/>
        </w:rPr>
        <w:t>管理全市涉及外国政府和国际金融机构贷（赠）款项目的有关业务，参与财经领域的国际交流与合作。</w:t>
      </w:r>
    </w:p>
    <w:p w14:paraId="392DC4A7">
      <w:pPr>
        <w:snapToGrid w:val="0"/>
        <w:spacing w:line="520" w:lineRule="exact"/>
        <w:ind w:firstLine="632" w:firstLineChars="200"/>
        <w:rPr>
          <w:rFonts w:hint="eastAsia" w:ascii="仿宋_GB2312" w:hAnsi="仿宋" w:eastAsia="仿宋_GB2312" w:cs="Times New Roman"/>
          <w:sz w:val="32"/>
          <w:szCs w:val="32"/>
          <w:highlight w:val="none"/>
        </w:rPr>
      </w:pPr>
      <w:r>
        <w:rPr>
          <w:rFonts w:hint="eastAsia" w:ascii="仿宋_GB2312" w:hAnsi="仿宋" w:cs="Times New Roman"/>
          <w:sz w:val="32"/>
          <w:szCs w:val="32"/>
          <w:highlight w:val="none"/>
          <w:lang w:val="en-US" w:eastAsia="zh-CN"/>
        </w:rPr>
        <w:t>13.</w:t>
      </w:r>
      <w:r>
        <w:rPr>
          <w:rFonts w:hint="eastAsia" w:ascii="仿宋_GB2312" w:hAnsi="仿宋" w:eastAsia="仿宋_GB2312" w:cs="Times New Roman"/>
          <w:sz w:val="32"/>
          <w:szCs w:val="32"/>
          <w:highlight w:val="none"/>
        </w:rPr>
        <w:t>负责管理全市会计工作，监督和规范会计行为，组织实施国家统一的会计制度，指导和监督注册会计师和会计师事务所的相关业务，指导和管理社会审计，依法管理资产评估有关工作。</w:t>
      </w:r>
    </w:p>
    <w:p w14:paraId="0C6D0F88">
      <w:pPr>
        <w:snapToGrid w:val="0"/>
        <w:spacing w:line="520" w:lineRule="exact"/>
        <w:ind w:firstLine="632" w:firstLineChars="200"/>
        <w:rPr>
          <w:rFonts w:hint="eastAsia" w:ascii="仿宋_GB2312" w:hAnsi="仿宋" w:eastAsia="仿宋_GB2312" w:cs="Times New Roman"/>
          <w:sz w:val="32"/>
          <w:szCs w:val="32"/>
          <w:highlight w:val="none"/>
        </w:rPr>
      </w:pPr>
      <w:r>
        <w:rPr>
          <w:rFonts w:hint="eastAsia" w:ascii="仿宋_GB2312" w:hAnsi="仿宋" w:cs="Times New Roman"/>
          <w:sz w:val="32"/>
          <w:szCs w:val="32"/>
          <w:highlight w:val="none"/>
          <w:lang w:val="en-US" w:eastAsia="zh-CN"/>
        </w:rPr>
        <w:t>14.</w:t>
      </w:r>
      <w:r>
        <w:rPr>
          <w:rFonts w:hint="eastAsia" w:ascii="仿宋_GB2312" w:hAnsi="仿宋" w:eastAsia="仿宋_GB2312" w:cs="Times New Roman"/>
          <w:sz w:val="32"/>
          <w:szCs w:val="32"/>
          <w:highlight w:val="none"/>
        </w:rPr>
        <w:t>组织研究防控地方金融风险、维护地方金融稳定的政策措施。完善金融风险处置联动工作机制，统筹组织有关部门加强地方金融风险排查、监测预警和会商处置。按照权限会同有关部门开展防范非法集资宣传教育、风险排查、线索认定和会商处置等工作，配合有关部门打击其他非法金融活动。参与推进全市金融生态环境建设。</w:t>
      </w:r>
    </w:p>
    <w:p w14:paraId="1F3EE26A">
      <w:pPr>
        <w:snapToGrid w:val="0"/>
        <w:spacing w:line="520" w:lineRule="exact"/>
        <w:ind w:firstLine="632" w:firstLineChars="200"/>
        <w:rPr>
          <w:rFonts w:hint="eastAsia" w:ascii="仿宋_GB2312" w:hAnsi="仿宋" w:eastAsia="仿宋_GB2312" w:cs="Times New Roman"/>
          <w:sz w:val="32"/>
          <w:szCs w:val="32"/>
          <w:highlight w:val="none"/>
        </w:rPr>
      </w:pPr>
      <w:r>
        <w:rPr>
          <w:rFonts w:hint="eastAsia" w:ascii="仿宋_GB2312" w:hAnsi="仿宋" w:cs="Times New Roman"/>
          <w:sz w:val="32"/>
          <w:szCs w:val="32"/>
          <w:highlight w:val="none"/>
          <w:lang w:val="en-US" w:eastAsia="zh-CN"/>
        </w:rPr>
        <w:t>15.</w:t>
      </w:r>
      <w:r>
        <w:rPr>
          <w:rFonts w:hint="eastAsia" w:ascii="仿宋_GB2312" w:hAnsi="仿宋" w:eastAsia="仿宋_GB2312" w:cs="Times New Roman"/>
          <w:sz w:val="32"/>
          <w:szCs w:val="32"/>
          <w:highlight w:val="none"/>
        </w:rPr>
        <w:t>根据中央金融管理部门制定的监管规则和省金融管理部门工作要求，负责全市小额贷款公司、融资担保公司、典当行、融资租赁公司、商业保理公司等地方金融组织日常监管、数据统计、风险防范和处置的具体工作。执行中央、省有关地方金融组织行业发展的政策措施，引导行业服务实体经济。承担地方金融组织和按权限管理的国有金融企业党的建设工作。</w:t>
      </w:r>
    </w:p>
    <w:p w14:paraId="3759B65D">
      <w:pPr>
        <w:spacing w:line="600" w:lineRule="exact"/>
        <w:ind w:firstLine="632" w:firstLineChars="200"/>
        <w:rPr>
          <w:rFonts w:hint="eastAsia" w:ascii="楷体_GB2312" w:eastAsia="楷体_GB2312"/>
          <w:b/>
        </w:rPr>
      </w:pPr>
      <w:r>
        <w:rPr>
          <w:rFonts w:hint="eastAsia" w:ascii="楷体_GB2312" w:eastAsia="楷体_GB2312"/>
          <w:b/>
        </w:rPr>
        <w:t>（二）</w:t>
      </w:r>
      <w:r>
        <w:rPr>
          <w:rFonts w:hint="eastAsia" w:ascii="楷体_GB2312" w:eastAsia="楷体_GB2312"/>
          <w:b/>
          <w:color w:val="auto"/>
          <w:lang w:eastAsia="zh-CN"/>
        </w:rPr>
        <w:t>遂宁市财政局20</w:t>
      </w:r>
      <w:r>
        <w:rPr>
          <w:rFonts w:hint="eastAsia" w:ascii="楷体_GB2312" w:eastAsia="楷体_GB2312"/>
          <w:b/>
          <w:lang w:eastAsia="zh-CN"/>
        </w:rPr>
        <w:t>25年</w:t>
      </w:r>
      <w:r>
        <w:rPr>
          <w:rFonts w:hint="eastAsia" w:ascii="楷体_GB2312" w:eastAsia="楷体_GB2312"/>
          <w:b/>
        </w:rPr>
        <w:t>重点工作</w:t>
      </w:r>
    </w:p>
    <w:p w14:paraId="0A0AE530">
      <w:pPr>
        <w:keepNext w:val="0"/>
        <w:keepLines w:val="0"/>
        <w:pageBreakBefore w:val="0"/>
        <w:widowControl w:val="0"/>
        <w:kinsoku/>
        <w:wordWrap/>
        <w:overflowPunct/>
        <w:topLinePunct/>
        <w:autoSpaceDE/>
        <w:autoSpaceDN/>
        <w:bidi w:val="0"/>
        <w:adjustRightInd/>
        <w:snapToGrid/>
        <w:spacing w:line="620" w:lineRule="exact"/>
        <w:ind w:firstLine="632" w:firstLineChars="200"/>
        <w:textAlignment w:val="auto"/>
        <w:rPr>
          <w:rFonts w:hint="eastAsia" w:ascii="Times New Roman" w:hAnsi="Times New Roman" w:eastAsia="方正仿宋_GBK" w:cs="Times New Roman"/>
          <w:b w:val="0"/>
          <w:bCs w:val="0"/>
          <w:sz w:val="32"/>
          <w:szCs w:val="32"/>
          <w:highlight w:val="none"/>
          <w:lang w:val="en-GB" w:eastAsia="zh-CN"/>
        </w:rPr>
      </w:pPr>
      <w:r>
        <w:rPr>
          <w:rFonts w:hint="default" w:ascii="Times New Roman" w:hAnsi="Times New Roman" w:eastAsia="方正楷体_GBK" w:cs="Times New Roman"/>
          <w:b w:val="0"/>
          <w:bCs w:val="0"/>
          <w:color w:val="auto"/>
          <w:sz w:val="32"/>
          <w:szCs w:val="32"/>
          <w:highlight w:val="none"/>
          <w:lang w:val="en-GB" w:eastAsia="zh-CN"/>
        </w:rPr>
        <w:t>一</w:t>
      </w:r>
      <w:r>
        <w:rPr>
          <w:rFonts w:hint="eastAsia" w:ascii="Times New Roman" w:hAnsi="Times New Roman" w:eastAsia="方正楷体_GBK" w:cs="Times New Roman"/>
          <w:b w:val="0"/>
          <w:bCs w:val="0"/>
          <w:color w:val="auto"/>
          <w:sz w:val="32"/>
          <w:szCs w:val="32"/>
          <w:highlight w:val="none"/>
          <w:lang w:val="en-GB" w:eastAsia="zh-CN"/>
        </w:rPr>
        <w:t>是</w:t>
      </w:r>
      <w:r>
        <w:rPr>
          <w:rFonts w:hint="default" w:ascii="Times New Roman" w:hAnsi="Times New Roman" w:eastAsia="方正楷体_GBK" w:cs="Times New Roman"/>
          <w:b w:val="0"/>
          <w:bCs w:val="0"/>
          <w:color w:val="auto"/>
          <w:sz w:val="32"/>
          <w:szCs w:val="32"/>
          <w:highlight w:val="none"/>
          <w:lang w:val="en-GB" w:eastAsia="zh-CN"/>
        </w:rPr>
        <w:t>全力抓好收入组织。</w:t>
      </w:r>
      <w:r>
        <w:rPr>
          <w:rFonts w:hint="default" w:ascii="Times New Roman" w:hAnsi="Times New Roman" w:eastAsia="方正仿宋_GBK" w:cs="Times New Roman"/>
          <w:b w:val="0"/>
          <w:bCs w:val="0"/>
          <w:sz w:val="32"/>
          <w:szCs w:val="32"/>
          <w:highlight w:val="none"/>
          <w:lang w:val="en-GB" w:eastAsia="zh-CN"/>
        </w:rPr>
        <w:t>强化财政和税务部门联动机制，全面摸排税源，加大税费征管力度，搭建“遂宁财政综合应用平台”，加强部门信息数据共享，加大税费征管、欠税追缴、税收风险应对和税务稽查力度，增强税源风险防控能力，做到应收尽收、颗粒归仓。积极挖潜非税收入潜力，加大以前年度各项欠缴非税收入清收追缴力度，清理和造册登记政府性资产，厘清可向市场出让的优良资产，指导各县区确保在“降费”的情况下，依法合规组织政府非税收入。</w:t>
      </w:r>
      <w:r>
        <w:rPr>
          <w:rFonts w:hint="default" w:ascii="Times New Roman" w:hAnsi="Times New Roman" w:eastAsia="方正楷体_GBK" w:cs="Times New Roman"/>
          <w:b w:val="0"/>
          <w:bCs w:val="0"/>
          <w:color w:val="auto"/>
          <w:sz w:val="32"/>
          <w:szCs w:val="32"/>
          <w:highlight w:val="none"/>
          <w:lang w:val="en-GB" w:eastAsia="zh-CN"/>
        </w:rPr>
        <w:t>二</w:t>
      </w:r>
      <w:r>
        <w:rPr>
          <w:rFonts w:hint="eastAsia" w:ascii="Times New Roman" w:hAnsi="Times New Roman" w:eastAsia="方正楷体_GBK" w:cs="Times New Roman"/>
          <w:b w:val="0"/>
          <w:bCs w:val="0"/>
          <w:color w:val="auto"/>
          <w:sz w:val="32"/>
          <w:szCs w:val="32"/>
          <w:highlight w:val="none"/>
          <w:lang w:val="en-GB" w:eastAsia="zh-CN"/>
        </w:rPr>
        <w:t>是</w:t>
      </w:r>
      <w:r>
        <w:rPr>
          <w:rFonts w:hint="default" w:ascii="Times New Roman" w:hAnsi="Times New Roman" w:eastAsia="方正楷体_GBK" w:cs="Times New Roman"/>
          <w:b w:val="0"/>
          <w:bCs w:val="0"/>
          <w:color w:val="auto"/>
          <w:sz w:val="32"/>
          <w:szCs w:val="32"/>
          <w:highlight w:val="none"/>
          <w:lang w:val="en-GB" w:eastAsia="zh-CN"/>
        </w:rPr>
        <w:t>全力抓好向上争取。</w:t>
      </w:r>
      <w:r>
        <w:rPr>
          <w:rFonts w:hint="default" w:ascii="Times New Roman" w:hAnsi="Times New Roman" w:eastAsia="方正仿宋_GBK" w:cs="Times New Roman"/>
          <w:b w:val="0"/>
          <w:bCs w:val="0"/>
          <w:sz w:val="32"/>
          <w:szCs w:val="32"/>
          <w:highlight w:val="none"/>
          <w:lang w:val="en-GB" w:eastAsia="zh-CN"/>
        </w:rPr>
        <w:t>围绕中</w:t>
      </w:r>
      <w:r>
        <w:rPr>
          <w:rFonts w:hint="eastAsia" w:eastAsia="方正仿宋_GBK" w:cs="Times New Roman"/>
          <w:b w:val="0"/>
          <w:bCs w:val="0"/>
          <w:sz w:val="32"/>
          <w:szCs w:val="32"/>
          <w:highlight w:val="none"/>
          <w:lang w:val="en-GB" w:eastAsia="zh-CN"/>
        </w:rPr>
        <w:t>央、</w:t>
      </w:r>
      <w:r>
        <w:rPr>
          <w:rFonts w:hint="default" w:ascii="Times New Roman" w:hAnsi="Times New Roman" w:eastAsia="方正仿宋_GBK" w:cs="Times New Roman"/>
          <w:b w:val="0"/>
          <w:bCs w:val="0"/>
          <w:sz w:val="32"/>
          <w:szCs w:val="32"/>
          <w:highlight w:val="none"/>
          <w:lang w:val="en-GB" w:eastAsia="zh-CN"/>
        </w:rPr>
        <w:t>省</w:t>
      </w:r>
      <w:r>
        <w:rPr>
          <w:rFonts w:hint="eastAsia" w:eastAsia="方正仿宋_GBK" w:cs="Times New Roman"/>
          <w:b w:val="0"/>
          <w:bCs w:val="0"/>
          <w:sz w:val="32"/>
          <w:szCs w:val="32"/>
          <w:highlight w:val="none"/>
          <w:lang w:val="en-GB" w:eastAsia="zh-CN"/>
        </w:rPr>
        <w:t>委</w:t>
      </w:r>
      <w:r>
        <w:rPr>
          <w:rFonts w:hint="default" w:ascii="Times New Roman" w:hAnsi="Times New Roman" w:eastAsia="方正仿宋_GBK" w:cs="Times New Roman"/>
          <w:b w:val="0"/>
          <w:bCs w:val="0"/>
          <w:sz w:val="32"/>
          <w:szCs w:val="32"/>
          <w:highlight w:val="none"/>
          <w:lang w:val="en-GB" w:eastAsia="zh-CN"/>
        </w:rPr>
        <w:t>重大战略部署、</w:t>
      </w:r>
      <w:r>
        <w:rPr>
          <w:rFonts w:hint="eastAsia" w:eastAsia="方正仿宋_GBK" w:cs="Times New Roman"/>
          <w:b w:val="0"/>
          <w:bCs w:val="0"/>
          <w:sz w:val="32"/>
          <w:szCs w:val="32"/>
          <w:highlight w:val="none"/>
          <w:lang w:val="en-GB" w:eastAsia="zh-CN"/>
        </w:rPr>
        <w:t>党的</w:t>
      </w:r>
      <w:r>
        <w:rPr>
          <w:rFonts w:hint="default" w:ascii="Times New Roman" w:hAnsi="Times New Roman" w:eastAsia="方正仿宋_GBK" w:cs="Times New Roman"/>
          <w:b w:val="0"/>
          <w:bCs w:val="0"/>
          <w:sz w:val="32"/>
          <w:szCs w:val="32"/>
          <w:highlight w:val="none"/>
          <w:lang w:val="en-GB" w:eastAsia="zh-CN"/>
        </w:rPr>
        <w:t>二十届三中全会提出了未来5年的重点领域、“十五五”规划等，重点在物流枢纽节点、市政和产业园区基础设施、保障性安居工程、集聚产业发展重点园区、数字化转型智能化升级、新质生产力等领域，提前规划储备大项目、好项目，积极争取债券资金、中省专项资金及超长期特别国债资金支持。</w:t>
      </w:r>
      <w:r>
        <w:rPr>
          <w:rFonts w:hint="default" w:ascii="Times New Roman" w:hAnsi="Times New Roman" w:eastAsia="方正楷体_GBK" w:cs="Times New Roman"/>
          <w:b w:val="0"/>
          <w:bCs w:val="0"/>
          <w:color w:val="auto"/>
          <w:sz w:val="32"/>
          <w:szCs w:val="32"/>
          <w:highlight w:val="none"/>
          <w:lang w:val="en-GB" w:eastAsia="zh-CN"/>
        </w:rPr>
        <w:t>三</w:t>
      </w:r>
      <w:r>
        <w:rPr>
          <w:rFonts w:hint="eastAsia" w:ascii="Times New Roman" w:hAnsi="Times New Roman" w:eastAsia="方正楷体_GBK" w:cs="Times New Roman"/>
          <w:b w:val="0"/>
          <w:bCs w:val="0"/>
          <w:color w:val="auto"/>
          <w:sz w:val="32"/>
          <w:szCs w:val="32"/>
          <w:highlight w:val="none"/>
          <w:lang w:val="en-GB" w:eastAsia="zh-CN"/>
        </w:rPr>
        <w:t>是</w:t>
      </w:r>
      <w:r>
        <w:rPr>
          <w:rFonts w:hint="default" w:ascii="Times New Roman" w:hAnsi="Times New Roman" w:eastAsia="方正楷体_GBK" w:cs="Times New Roman"/>
          <w:b w:val="0"/>
          <w:bCs w:val="0"/>
          <w:color w:val="auto"/>
          <w:sz w:val="32"/>
          <w:szCs w:val="32"/>
          <w:highlight w:val="none"/>
          <w:lang w:val="en-GB" w:eastAsia="zh-CN"/>
        </w:rPr>
        <w:t>全力抓好支出管控。</w:t>
      </w:r>
      <w:r>
        <w:rPr>
          <w:rFonts w:hint="default" w:ascii="Times New Roman" w:hAnsi="Times New Roman" w:eastAsia="方正仿宋_GBK" w:cs="Times New Roman"/>
          <w:b w:val="0"/>
          <w:bCs w:val="0"/>
          <w:sz w:val="32"/>
          <w:szCs w:val="32"/>
          <w:highlight w:val="none"/>
          <w:lang w:val="en-GB" w:eastAsia="zh-CN"/>
        </w:rPr>
        <w:t>牢固树立习惯过紧日子思想，加大财政资金资源统筹整合力度，削减不必要开支，大力压减非刚性非急需支出，促进各部门间政策协同，对重复、重叠、零散的政策归并整合，构建“集中财力办大事”财政政策体系。</w:t>
      </w:r>
      <w:r>
        <w:rPr>
          <w:rFonts w:hint="default" w:ascii="Times New Roman" w:hAnsi="Times New Roman" w:eastAsia="方正楷体_GBK" w:cs="Times New Roman"/>
          <w:b w:val="0"/>
          <w:bCs w:val="0"/>
          <w:color w:val="auto"/>
          <w:sz w:val="32"/>
          <w:szCs w:val="32"/>
          <w:highlight w:val="none"/>
          <w:lang w:val="en-GB" w:eastAsia="zh-CN"/>
        </w:rPr>
        <w:t>四</w:t>
      </w:r>
      <w:r>
        <w:rPr>
          <w:rFonts w:hint="eastAsia" w:ascii="Times New Roman" w:hAnsi="Times New Roman" w:eastAsia="方正楷体_GBK" w:cs="Times New Roman"/>
          <w:b w:val="0"/>
          <w:bCs w:val="0"/>
          <w:color w:val="auto"/>
          <w:sz w:val="32"/>
          <w:szCs w:val="32"/>
          <w:highlight w:val="none"/>
          <w:lang w:val="en-GB" w:eastAsia="zh-CN"/>
        </w:rPr>
        <w:t>是</w:t>
      </w:r>
      <w:r>
        <w:rPr>
          <w:rFonts w:hint="default" w:ascii="Times New Roman" w:hAnsi="Times New Roman" w:eastAsia="方正楷体_GBK" w:cs="Times New Roman"/>
          <w:b w:val="0"/>
          <w:bCs w:val="0"/>
          <w:color w:val="auto"/>
          <w:sz w:val="32"/>
          <w:szCs w:val="32"/>
          <w:highlight w:val="none"/>
          <w:lang w:val="en-GB" w:eastAsia="zh-CN"/>
        </w:rPr>
        <w:t>全力抓好金融服务。</w:t>
      </w:r>
      <w:r>
        <w:rPr>
          <w:rFonts w:hint="default" w:ascii="Times New Roman" w:hAnsi="Times New Roman" w:eastAsia="方正仿宋_GBK" w:cs="Times New Roman"/>
          <w:b w:val="0"/>
          <w:bCs w:val="0"/>
          <w:sz w:val="32"/>
          <w:szCs w:val="32"/>
          <w:highlight w:val="none"/>
          <w:lang w:val="en-GB" w:eastAsia="zh-CN"/>
        </w:rPr>
        <w:t>加大信贷投放力度，深化“金融四进”行动和“金融顾问”活动，推动银行机构创新金融产品和服务方式，加大对科技金融、绿色金融、普惠金融、养老金融、数字金融信贷投放力度，力争2025年存贷款指标进入全省第一梯队。</w:t>
      </w:r>
      <w:r>
        <w:rPr>
          <w:rFonts w:hint="eastAsia" w:ascii="Times New Roman" w:hAnsi="Times New Roman" w:eastAsia="方正楷体_GBK" w:cs="Times New Roman"/>
          <w:b w:val="0"/>
          <w:bCs w:val="0"/>
          <w:color w:val="auto"/>
          <w:sz w:val="32"/>
          <w:szCs w:val="32"/>
          <w:highlight w:val="none"/>
          <w:lang w:val="en-GB" w:eastAsia="zh-CN"/>
        </w:rPr>
        <w:t>五是全力抓好财政改革。</w:t>
      </w:r>
      <w:r>
        <w:rPr>
          <w:rFonts w:hint="eastAsia" w:ascii="Times New Roman" w:hAnsi="Times New Roman" w:eastAsia="方正仿宋_GBK" w:cs="Times New Roman"/>
          <w:b w:val="0"/>
          <w:bCs w:val="0"/>
          <w:sz w:val="32"/>
          <w:szCs w:val="32"/>
          <w:highlight w:val="none"/>
          <w:lang w:val="en-GB" w:eastAsia="zh-CN"/>
        </w:rPr>
        <w:t>推进教育、医疗、科技等重点领域市以下财政事权和支出责任的划分，科学划分财政事权，明确支出责任，建立权责清晰、财力协调、区域均衡的财政关系，确保各项政策的有效实施和资金的合理使用。</w:t>
      </w:r>
      <w:r>
        <w:rPr>
          <w:rFonts w:hint="eastAsia" w:ascii="Times New Roman" w:hAnsi="Times New Roman" w:eastAsia="方正楷体_GBK" w:cs="Times New Roman"/>
          <w:b w:val="0"/>
          <w:bCs w:val="0"/>
          <w:color w:val="auto"/>
          <w:sz w:val="32"/>
          <w:szCs w:val="32"/>
          <w:highlight w:val="none"/>
          <w:lang w:val="en-GB" w:eastAsia="zh-CN"/>
        </w:rPr>
        <w:t>六是全力抓好风险防控。</w:t>
      </w:r>
      <w:r>
        <w:rPr>
          <w:rFonts w:hint="eastAsia" w:ascii="Times New Roman" w:hAnsi="Times New Roman" w:eastAsia="方正仿宋_GBK" w:cs="Times New Roman"/>
          <w:b w:val="0"/>
          <w:bCs w:val="0"/>
          <w:sz w:val="32"/>
          <w:szCs w:val="32"/>
          <w:highlight w:val="none"/>
          <w:lang w:val="en-GB" w:eastAsia="zh-CN"/>
        </w:rPr>
        <w:t>分层分类系统推进地方债务风险防范化解，保障政府债务按时足额还本付息；充分开展财政承受能力评估论证、项目可行性研究论证和资金筹措论证，严禁盲目举债、违规举债；完善防范化解债务风险长效机制，加强融资平台公司债务监管，推动非标债务置换重组，严防“爆雷”风险。</w:t>
      </w:r>
    </w:p>
    <w:p w14:paraId="287E31BB">
      <w:pPr>
        <w:spacing w:line="600" w:lineRule="exact"/>
        <w:ind w:firstLine="632" w:firstLineChars="200"/>
        <w:rPr>
          <w:color w:val="FF0000"/>
        </w:rPr>
      </w:pPr>
    </w:p>
    <w:p w14:paraId="34B67EC3">
      <w:pPr>
        <w:spacing w:line="600" w:lineRule="exact"/>
        <w:ind w:firstLine="632" w:firstLineChars="200"/>
        <w:rPr>
          <w:rFonts w:hint="eastAsia" w:ascii="黑体" w:hAnsi="黑体" w:eastAsia="黑体"/>
        </w:rPr>
      </w:pPr>
      <w:r>
        <w:rPr>
          <w:rFonts w:ascii="黑体" w:hAnsi="黑体" w:eastAsia="黑体"/>
        </w:rPr>
        <w:t>二、部门</w:t>
      </w:r>
      <w:r>
        <w:rPr>
          <w:rFonts w:hint="eastAsia" w:ascii="黑体" w:hAnsi="黑体" w:eastAsia="黑体"/>
        </w:rPr>
        <w:t>预算单位构成</w:t>
      </w:r>
    </w:p>
    <w:p w14:paraId="0BDD2DBE">
      <w:pPr>
        <w:pStyle w:val="12"/>
        <w:spacing w:line="600" w:lineRule="exact"/>
        <w:ind w:firstLine="632" w:firstLineChars="200"/>
        <w:rPr>
          <w:rFonts w:ascii="Times New Roman" w:hAnsi="Times New Roman" w:eastAsia="仿宋_GB2312"/>
        </w:rPr>
      </w:pPr>
      <w:r>
        <w:rPr>
          <w:rFonts w:ascii="Times New Roman" w:hAnsi="Times New Roman" w:eastAsia="仿宋_GB2312"/>
          <w:kern w:val="2"/>
          <w:szCs w:val="24"/>
        </w:rPr>
        <w:t>遂宁市财政局</w:t>
      </w:r>
      <w:r>
        <w:rPr>
          <w:rFonts w:hint="eastAsia" w:ascii="Times New Roman" w:hAnsi="Times New Roman" w:eastAsia="仿宋_GB2312"/>
          <w:kern w:val="2"/>
          <w:szCs w:val="24"/>
          <w:lang w:eastAsia="zh-CN"/>
        </w:rPr>
        <w:t>及</w:t>
      </w:r>
      <w:r>
        <w:rPr>
          <w:rFonts w:ascii="Times New Roman" w:hAnsi="Times New Roman" w:eastAsia="仿宋_GB2312"/>
          <w:kern w:val="2"/>
          <w:szCs w:val="24"/>
        </w:rPr>
        <w:t>下属二级预算单位</w:t>
      </w:r>
      <w:r>
        <w:rPr>
          <w:rFonts w:hint="eastAsia" w:ascii="Times New Roman" w:hAnsi="Times New Roman" w:eastAsia="仿宋_GB2312"/>
          <w:kern w:val="2"/>
          <w:szCs w:val="24"/>
          <w:lang w:val="en-US" w:eastAsia="zh-CN"/>
        </w:rPr>
        <w:t>8</w:t>
      </w:r>
      <w:r>
        <w:rPr>
          <w:rFonts w:ascii="Times New Roman" w:hAnsi="Times New Roman" w:eastAsia="仿宋_GB2312"/>
          <w:kern w:val="2"/>
          <w:szCs w:val="24"/>
        </w:rPr>
        <w:t>个，其中行政单位1个，参照公务员法管理的事业单位2个，其他事业单位</w:t>
      </w:r>
      <w:r>
        <w:rPr>
          <w:rFonts w:hint="eastAsia" w:ascii="Times New Roman" w:hAnsi="Times New Roman" w:eastAsia="仿宋_GB2312"/>
          <w:kern w:val="2"/>
          <w:szCs w:val="24"/>
          <w:lang w:val="en-US" w:eastAsia="zh-CN"/>
        </w:rPr>
        <w:t>5</w:t>
      </w:r>
      <w:r>
        <w:rPr>
          <w:rFonts w:ascii="Times New Roman" w:hAnsi="Times New Roman" w:eastAsia="仿宋_GB2312"/>
          <w:kern w:val="2"/>
          <w:szCs w:val="24"/>
        </w:rPr>
        <w:t>个。主要包括：遂宁市财政局、遂宁市</w:t>
      </w:r>
      <w:r>
        <w:rPr>
          <w:rFonts w:hint="eastAsia" w:ascii="Times New Roman" w:hAnsi="Times New Roman" w:eastAsia="仿宋_GB2312"/>
          <w:kern w:val="2"/>
          <w:szCs w:val="24"/>
          <w:lang w:eastAsia="zh-CN"/>
        </w:rPr>
        <w:t>财政</w:t>
      </w:r>
      <w:r>
        <w:rPr>
          <w:rFonts w:ascii="Times New Roman" w:hAnsi="Times New Roman" w:eastAsia="仿宋_GB2312"/>
          <w:kern w:val="2"/>
          <w:szCs w:val="24"/>
        </w:rPr>
        <w:t>国库支付</w:t>
      </w:r>
      <w:r>
        <w:rPr>
          <w:rFonts w:hint="eastAsia" w:ascii="Times New Roman" w:hAnsi="Times New Roman" w:eastAsia="仿宋_GB2312"/>
          <w:kern w:val="2"/>
          <w:szCs w:val="24"/>
          <w:lang w:eastAsia="zh-CN"/>
        </w:rPr>
        <w:t>中心</w:t>
      </w:r>
      <w:r>
        <w:rPr>
          <w:rFonts w:ascii="Times New Roman" w:hAnsi="Times New Roman" w:eastAsia="仿宋_GB2312"/>
          <w:kern w:val="2"/>
          <w:szCs w:val="24"/>
        </w:rPr>
        <w:t>、遂宁市财政信</w:t>
      </w:r>
      <w:r>
        <w:rPr>
          <w:rFonts w:ascii="Times New Roman" w:hAnsi="Times New Roman" w:eastAsia="仿宋_GB2312"/>
        </w:rPr>
        <w:t>息中心、遂宁市财政预算编审中心、遂宁市票据监管中心、遂宁市政府投资评审中心、遂宁市政府和社会资本合作中心</w:t>
      </w:r>
      <w:r>
        <w:rPr>
          <w:rFonts w:hint="eastAsia" w:ascii="Times New Roman" w:hAnsi="Times New Roman" w:eastAsia="仿宋_GB2312"/>
          <w:lang w:eastAsia="zh-CN"/>
        </w:rPr>
        <w:t>，遂宁市金融服务中心</w:t>
      </w:r>
      <w:r>
        <w:rPr>
          <w:rFonts w:ascii="Times New Roman" w:hAnsi="Times New Roman" w:eastAsia="仿宋_GB2312"/>
        </w:rPr>
        <w:t>。</w:t>
      </w:r>
    </w:p>
    <w:p w14:paraId="60AB9E23">
      <w:pPr>
        <w:spacing w:line="600" w:lineRule="exact"/>
        <w:ind w:firstLine="632" w:firstLineChars="200"/>
        <w:rPr>
          <w:rFonts w:hint="eastAsia" w:ascii="黑体" w:hAnsi="黑体" w:eastAsia="黑体"/>
        </w:rPr>
      </w:pPr>
      <w:r>
        <w:rPr>
          <w:rFonts w:ascii="黑体" w:hAnsi="黑体" w:eastAsia="黑体"/>
        </w:rPr>
        <w:t>三、收支预算情况</w:t>
      </w:r>
      <w:r>
        <w:rPr>
          <w:rFonts w:hint="eastAsia" w:ascii="黑体" w:hAnsi="黑体" w:eastAsia="黑体"/>
        </w:rPr>
        <w:t>说明</w:t>
      </w:r>
    </w:p>
    <w:p w14:paraId="31668B61">
      <w:pPr>
        <w:spacing w:line="600" w:lineRule="exact"/>
        <w:ind w:firstLine="632" w:firstLineChars="200"/>
        <w:rPr>
          <w:rFonts w:hint="eastAsia"/>
        </w:rPr>
      </w:pPr>
      <w:r>
        <w:rPr>
          <w:rFonts w:hint="eastAsia"/>
        </w:rPr>
        <w:t>按照综合预算的原则，</w:t>
      </w:r>
      <w:r>
        <w:rPr>
          <w:rFonts w:hint="eastAsia" w:ascii="Times New Roman" w:hAnsi="Times New Roman" w:cs="Times New Roman"/>
          <w:lang w:eastAsia="zh-CN"/>
        </w:rPr>
        <w:t>遂宁市财政局</w:t>
      </w:r>
      <w:r>
        <w:rPr>
          <w:rFonts w:hint="eastAsia"/>
        </w:rPr>
        <w:t>所有收入和支出均纳入部门预算管理。收入包括：一般公共预算拨款收入</w:t>
      </w:r>
      <w:r>
        <w:t>；支出包括：一般公共服务支出、社会保障和就业支出、</w:t>
      </w:r>
      <w:r>
        <w:rPr>
          <w:szCs w:val="32"/>
        </w:rPr>
        <w:t>卫生健康支出、住房保障支出</w:t>
      </w:r>
      <w:r>
        <w:t>。202</w:t>
      </w:r>
      <w:r>
        <w:rPr>
          <w:rFonts w:hint="eastAsia"/>
          <w:lang w:val="en-US" w:eastAsia="zh-CN"/>
        </w:rPr>
        <w:t>5</w:t>
      </w:r>
      <w:r>
        <w:t>年收支总预算</w:t>
      </w:r>
      <w:r>
        <w:rPr>
          <w:rFonts w:hint="eastAsia"/>
          <w:lang w:val="en-US" w:eastAsia="zh-CN"/>
        </w:rPr>
        <w:t>2746.13</w:t>
      </w:r>
      <w:r>
        <w:t>万元，较202</w:t>
      </w:r>
      <w:r>
        <w:rPr>
          <w:rFonts w:hint="eastAsia"/>
          <w:lang w:val="en-US" w:eastAsia="zh-CN"/>
        </w:rPr>
        <w:t>4</w:t>
      </w:r>
      <w:r>
        <w:t>年收支预算总数增加</w:t>
      </w:r>
      <w:r>
        <w:rPr>
          <w:rFonts w:hint="eastAsia"/>
          <w:lang w:val="en-US" w:eastAsia="zh-CN"/>
        </w:rPr>
        <w:t>216.84</w:t>
      </w:r>
      <w:r>
        <w:t>万元，主要原因是</w:t>
      </w:r>
      <w:r>
        <w:rPr>
          <w:rFonts w:hint="eastAsia"/>
          <w:lang w:eastAsia="zh-CN"/>
        </w:rPr>
        <w:t>本年度新增遂宁市金融服务中心，以及工资变动、政策资金争取工作经费、上派工作经费增加</w:t>
      </w:r>
      <w:r>
        <w:rPr>
          <w:rFonts w:hint="eastAsia"/>
        </w:rPr>
        <w:t>。</w:t>
      </w:r>
    </w:p>
    <w:p w14:paraId="2AAB5365">
      <w:pPr>
        <w:spacing w:line="600" w:lineRule="exact"/>
        <w:ind w:firstLine="632" w:firstLineChars="200"/>
        <w:rPr>
          <w:rFonts w:hint="eastAsia" w:ascii="楷体_GB2312" w:eastAsia="楷体_GB2312"/>
          <w:b/>
        </w:rPr>
      </w:pPr>
      <w:r>
        <w:rPr>
          <w:rFonts w:hint="eastAsia" w:ascii="楷体_GB2312" w:eastAsia="楷体_GB2312"/>
          <w:b/>
        </w:rPr>
        <w:t>（一）收入预算情况</w:t>
      </w:r>
    </w:p>
    <w:p w14:paraId="17B60996">
      <w:pPr>
        <w:spacing w:line="600" w:lineRule="exact"/>
        <w:ind w:firstLine="632" w:firstLineChars="200"/>
        <w:rPr>
          <w:rFonts w:hint="eastAsia"/>
        </w:rPr>
      </w:pPr>
      <w:r>
        <w:rPr>
          <w:rFonts w:hint="eastAsia" w:ascii="Times New Roman" w:hAnsi="Times New Roman" w:cs="Times New Roman"/>
          <w:lang w:eastAsia="zh-CN"/>
        </w:rPr>
        <w:t>遂宁市财政局2</w:t>
      </w:r>
      <w:r>
        <w:rPr>
          <w:rFonts w:hint="eastAsia"/>
          <w:lang w:eastAsia="zh-CN"/>
        </w:rPr>
        <w:t>025年</w:t>
      </w:r>
      <w:r>
        <w:rPr>
          <w:rFonts w:hint="eastAsia"/>
        </w:rPr>
        <w:t>收入预算</w:t>
      </w:r>
      <w:r>
        <w:rPr>
          <w:rFonts w:hint="eastAsia"/>
          <w:lang w:val="en-US" w:eastAsia="zh-CN"/>
        </w:rPr>
        <w:t>2746.13</w:t>
      </w:r>
      <w:r>
        <w:rPr>
          <w:rFonts w:hint="eastAsia"/>
        </w:rPr>
        <w:t>万元，其中：一般公共预算拨款收入</w:t>
      </w:r>
      <w:r>
        <w:rPr>
          <w:rFonts w:hint="eastAsia"/>
          <w:lang w:val="en-US" w:eastAsia="zh-CN"/>
        </w:rPr>
        <w:t>2746.13</w:t>
      </w:r>
      <w:r>
        <w:rPr>
          <w:rFonts w:hint="eastAsia"/>
        </w:rPr>
        <w:t>万元，占</w:t>
      </w:r>
      <w:r>
        <w:rPr>
          <w:rFonts w:hint="eastAsia" w:ascii="楷体_GB2312" w:eastAsia="楷体_GB2312"/>
          <w:lang w:val="en-US" w:eastAsia="zh-CN"/>
        </w:rPr>
        <w:t>100</w:t>
      </w:r>
      <w:r>
        <w:rPr>
          <w:rFonts w:hint="eastAsia"/>
        </w:rPr>
        <w:t>%。</w:t>
      </w:r>
    </w:p>
    <w:p w14:paraId="7B1A0368">
      <w:pPr>
        <w:spacing w:line="600" w:lineRule="exact"/>
        <w:ind w:firstLine="632" w:firstLineChars="200"/>
        <w:rPr>
          <w:rFonts w:hint="eastAsia" w:ascii="楷体_GB2312" w:eastAsia="楷体_GB2312"/>
          <w:b/>
        </w:rPr>
      </w:pPr>
      <w:r>
        <w:rPr>
          <w:rFonts w:hint="eastAsia" w:ascii="楷体_GB2312" w:eastAsia="楷体_GB2312"/>
          <w:b/>
        </w:rPr>
        <w:t>（二）支出预算情况</w:t>
      </w:r>
    </w:p>
    <w:p w14:paraId="6523869D">
      <w:pPr>
        <w:spacing w:line="600" w:lineRule="exact"/>
        <w:ind w:firstLine="632" w:firstLineChars="200"/>
        <w:rPr>
          <w:rFonts w:hint="eastAsia"/>
        </w:rPr>
      </w:pPr>
      <w:r>
        <w:rPr>
          <w:rFonts w:hint="eastAsia"/>
          <w:color w:val="auto"/>
          <w:lang w:eastAsia="zh-CN"/>
        </w:rPr>
        <w:t>遂宁市财政局2025</w:t>
      </w:r>
      <w:r>
        <w:rPr>
          <w:rFonts w:hint="eastAsia"/>
          <w:lang w:eastAsia="zh-CN"/>
        </w:rPr>
        <w:t>年</w:t>
      </w:r>
      <w:r>
        <w:rPr>
          <w:rFonts w:hint="eastAsia"/>
        </w:rPr>
        <w:t>支出预算</w:t>
      </w:r>
      <w:r>
        <w:rPr>
          <w:rFonts w:hint="eastAsia"/>
          <w:lang w:val="en-US" w:eastAsia="zh-CN"/>
        </w:rPr>
        <w:t>2746.13万</w:t>
      </w:r>
      <w:r>
        <w:rPr>
          <w:rFonts w:hint="eastAsia"/>
        </w:rPr>
        <w:t>元，其中：基本</w:t>
      </w:r>
      <w:r>
        <w:rPr>
          <w:rFonts w:hint="eastAsia" w:ascii="Times New Roman" w:hAnsi="Times New Roman" w:cs="Times New Roman"/>
          <w:lang w:eastAsia="zh-CN"/>
        </w:rPr>
        <w:t>支出</w:t>
      </w:r>
      <w:r>
        <w:rPr>
          <w:rFonts w:hint="eastAsia" w:ascii="Times New Roman" w:hAnsi="Times New Roman" w:cs="Times New Roman"/>
          <w:lang w:val="en-US" w:eastAsia="zh-CN"/>
        </w:rPr>
        <w:t>2094.43</w:t>
      </w:r>
      <w:r>
        <w:rPr>
          <w:rFonts w:hint="eastAsia" w:ascii="Times New Roman" w:hAnsi="Times New Roman" w:cs="Times New Roman"/>
          <w:lang w:eastAsia="zh-CN"/>
        </w:rPr>
        <w:t>万元，占</w:t>
      </w:r>
      <w:r>
        <w:rPr>
          <w:rFonts w:hint="eastAsia" w:ascii="Times New Roman" w:hAnsi="Times New Roman" w:cs="Times New Roman"/>
          <w:lang w:val="en-US" w:eastAsia="zh-CN"/>
        </w:rPr>
        <w:t>76.27</w:t>
      </w:r>
      <w:r>
        <w:rPr>
          <w:rFonts w:hint="eastAsia" w:ascii="Times New Roman" w:hAnsi="Times New Roman" w:cs="Times New Roman"/>
          <w:lang w:eastAsia="zh-CN"/>
        </w:rPr>
        <w:t>%；项目支出</w:t>
      </w:r>
      <w:r>
        <w:rPr>
          <w:rFonts w:hint="eastAsia" w:ascii="Times New Roman" w:hAnsi="Times New Roman" w:cs="Times New Roman"/>
          <w:lang w:val="en-US" w:eastAsia="zh-CN"/>
        </w:rPr>
        <w:t>651.70</w:t>
      </w:r>
      <w:r>
        <w:rPr>
          <w:rFonts w:hint="eastAsia" w:ascii="Times New Roman" w:hAnsi="Times New Roman" w:cs="Times New Roman"/>
          <w:lang w:eastAsia="zh-CN"/>
        </w:rPr>
        <w:t>万元，占</w:t>
      </w:r>
      <w:r>
        <w:rPr>
          <w:rFonts w:hint="eastAsia" w:ascii="Times New Roman" w:hAnsi="Times New Roman" w:cs="Times New Roman"/>
          <w:lang w:val="en-US" w:eastAsia="zh-CN"/>
        </w:rPr>
        <w:t>23.73</w:t>
      </w:r>
      <w:r>
        <w:rPr>
          <w:rFonts w:hint="eastAsia" w:ascii="Times New Roman" w:hAnsi="Times New Roman" w:cs="Times New Roman"/>
          <w:lang w:eastAsia="zh-CN"/>
        </w:rPr>
        <w:t>%。</w:t>
      </w:r>
    </w:p>
    <w:p w14:paraId="37BD94D2">
      <w:pPr>
        <w:spacing w:line="600" w:lineRule="exact"/>
        <w:ind w:firstLine="632" w:firstLineChars="200"/>
        <w:rPr>
          <w:rFonts w:hint="eastAsia" w:ascii="黑体" w:hAnsi="黑体" w:eastAsia="黑体"/>
        </w:rPr>
      </w:pPr>
      <w:r>
        <w:rPr>
          <w:rFonts w:ascii="黑体" w:hAnsi="黑体" w:eastAsia="黑体"/>
        </w:rPr>
        <w:t>四、财政拨款</w:t>
      </w:r>
      <w:r>
        <w:rPr>
          <w:rFonts w:hint="eastAsia" w:ascii="黑体" w:hAnsi="黑体" w:eastAsia="黑体"/>
        </w:rPr>
        <w:t>收支</w:t>
      </w:r>
      <w:r>
        <w:rPr>
          <w:rFonts w:ascii="黑体" w:hAnsi="黑体" w:eastAsia="黑体"/>
        </w:rPr>
        <w:t>预算情况</w:t>
      </w:r>
      <w:r>
        <w:rPr>
          <w:rFonts w:hint="eastAsia" w:ascii="黑体" w:hAnsi="黑体" w:eastAsia="黑体"/>
        </w:rPr>
        <w:t>说明</w:t>
      </w:r>
    </w:p>
    <w:p w14:paraId="2CA66416">
      <w:pPr>
        <w:spacing w:line="600" w:lineRule="exact"/>
        <w:ind w:firstLine="632" w:firstLineChars="200"/>
        <w:rPr>
          <w:rFonts w:hint="eastAsia"/>
        </w:rPr>
      </w:pPr>
      <w:r>
        <w:rPr>
          <w:rFonts w:hint="eastAsia" w:ascii="Times New Roman" w:hAnsi="Times New Roman" w:cs="Times New Roman"/>
          <w:lang w:eastAsia="zh-CN"/>
        </w:rPr>
        <w:t>遂宁市财政局</w:t>
      </w:r>
      <w:r>
        <w:rPr>
          <w:rFonts w:hint="eastAsia" w:ascii="Times New Roman" w:hAnsi="Times New Roman" w:cs="Times New Roman"/>
        </w:rPr>
        <w:t>，</w:t>
      </w:r>
      <w:r>
        <w:rPr>
          <w:rFonts w:hint="eastAsia" w:ascii="Times New Roman" w:hAnsi="Times New Roman" w:cs="Times New Roman"/>
          <w:lang w:eastAsia="zh-CN"/>
        </w:rPr>
        <w:t>2</w:t>
      </w:r>
      <w:r>
        <w:rPr>
          <w:rFonts w:hint="eastAsia"/>
          <w:lang w:eastAsia="zh-CN"/>
        </w:rPr>
        <w:t>025年</w:t>
      </w:r>
      <w:r>
        <w:rPr>
          <w:rFonts w:hint="eastAsia"/>
        </w:rPr>
        <w:t>收支总预算</w:t>
      </w:r>
      <w:r>
        <w:rPr>
          <w:rFonts w:hint="eastAsia"/>
          <w:lang w:val="en-US" w:eastAsia="zh-CN"/>
        </w:rPr>
        <w:t>2746.13</w:t>
      </w:r>
      <w:r>
        <w:rPr>
          <w:rFonts w:hint="eastAsia"/>
        </w:rPr>
        <w:t>万元，较</w:t>
      </w:r>
      <w:r>
        <w:rPr>
          <w:rFonts w:hint="eastAsia"/>
          <w:lang w:eastAsia="zh-CN"/>
        </w:rPr>
        <w:t>2024年</w:t>
      </w:r>
      <w:r>
        <w:rPr>
          <w:rFonts w:hint="eastAsia"/>
        </w:rPr>
        <w:t>收支预算总数</w:t>
      </w:r>
      <w:r>
        <w:t>增加</w:t>
      </w:r>
      <w:r>
        <w:rPr>
          <w:rFonts w:hint="eastAsia"/>
          <w:lang w:val="en-US" w:eastAsia="zh-CN"/>
        </w:rPr>
        <w:t>216.84</w:t>
      </w:r>
      <w:r>
        <w:t>万元，主要原因是</w:t>
      </w:r>
      <w:r>
        <w:rPr>
          <w:rFonts w:hint="eastAsia"/>
          <w:lang w:eastAsia="zh-CN"/>
        </w:rPr>
        <w:t>本年度新增遂宁市金融服务中心，以及工资变动、政策资金争取工作经费、上派工作经费增加</w:t>
      </w:r>
      <w:r>
        <w:rPr>
          <w:rFonts w:hint="eastAsia"/>
        </w:rPr>
        <w:t>。</w:t>
      </w:r>
    </w:p>
    <w:p w14:paraId="1A28CFDE">
      <w:pPr>
        <w:spacing w:line="600" w:lineRule="exact"/>
        <w:ind w:firstLine="632" w:firstLineChars="200"/>
        <w:rPr>
          <w:rFonts w:hint="eastAsia"/>
        </w:rPr>
      </w:pPr>
      <w:r>
        <w:rPr>
          <w:rFonts w:hint="eastAsia"/>
        </w:rPr>
        <w:t>收入包括：本年一般公共预算拨款收入</w:t>
      </w:r>
      <w:r>
        <w:rPr>
          <w:rFonts w:hint="eastAsia"/>
          <w:lang w:val="en-US" w:eastAsia="zh-CN"/>
        </w:rPr>
        <w:t>2746.13</w:t>
      </w:r>
      <w:r>
        <w:rPr>
          <w:rFonts w:hint="eastAsia"/>
        </w:rPr>
        <w:t>万元；支出包括：一般公共服务支出</w:t>
      </w:r>
      <w:r>
        <w:rPr>
          <w:rFonts w:hint="eastAsia"/>
          <w:lang w:val="en-US" w:eastAsia="zh-CN"/>
        </w:rPr>
        <w:t>2342.68</w:t>
      </w:r>
      <w:r>
        <w:rPr>
          <w:rFonts w:hint="eastAsia"/>
        </w:rPr>
        <w:t>万元、社会保障和就业支出</w:t>
      </w:r>
      <w:r>
        <w:rPr>
          <w:rFonts w:hint="eastAsia"/>
          <w:lang w:val="en-US" w:eastAsia="zh-CN"/>
        </w:rPr>
        <w:t>189.84</w:t>
      </w:r>
      <w:r>
        <w:rPr>
          <w:rFonts w:hint="eastAsia"/>
        </w:rPr>
        <w:t>万元、</w:t>
      </w:r>
      <w:r>
        <w:rPr>
          <w:rFonts w:hint="eastAsia"/>
          <w:lang w:eastAsia="zh-CN"/>
        </w:rPr>
        <w:t>卫生健康</w:t>
      </w:r>
      <w:r>
        <w:rPr>
          <w:rFonts w:hint="eastAsia"/>
        </w:rPr>
        <w:t>支</w:t>
      </w:r>
      <w:r>
        <w:rPr>
          <w:rFonts w:hint="eastAsia" w:ascii="Times New Roman" w:hAnsi="Times New Roman" w:cs="Times New Roman"/>
          <w:lang w:val="en-US" w:eastAsia="zh-CN"/>
        </w:rPr>
        <w:t>出70.26万元</w:t>
      </w:r>
      <w:r>
        <w:rPr>
          <w:rFonts w:hint="eastAsia"/>
        </w:rPr>
        <w:t>、住房保障支出</w:t>
      </w:r>
      <w:r>
        <w:rPr>
          <w:rFonts w:hint="eastAsia"/>
          <w:lang w:val="en-US" w:eastAsia="zh-CN"/>
        </w:rPr>
        <w:t>143.35</w:t>
      </w:r>
      <w:r>
        <w:rPr>
          <w:rFonts w:hint="eastAsia"/>
        </w:rPr>
        <w:t>万元。</w:t>
      </w:r>
    </w:p>
    <w:p w14:paraId="1EC5B163">
      <w:pPr>
        <w:spacing w:line="600" w:lineRule="exact"/>
        <w:ind w:firstLine="632" w:firstLineChars="200"/>
        <w:rPr>
          <w:rFonts w:hint="eastAsia" w:ascii="黑体" w:hAnsi="黑体" w:eastAsia="黑体"/>
        </w:rPr>
      </w:pPr>
      <w:r>
        <w:rPr>
          <w:rFonts w:hint="eastAsia" w:ascii="黑体" w:hAnsi="黑体" w:eastAsia="黑体"/>
        </w:rPr>
        <w:t>五、一般公共预算当年拨款情况说明</w:t>
      </w:r>
    </w:p>
    <w:p w14:paraId="5EA42F58">
      <w:pPr>
        <w:spacing w:line="600" w:lineRule="exact"/>
        <w:ind w:firstLine="632" w:firstLineChars="200"/>
        <w:rPr>
          <w:rFonts w:hint="eastAsia" w:ascii="楷体_GB2312" w:eastAsia="楷体_GB2312"/>
          <w:b/>
        </w:rPr>
      </w:pPr>
      <w:r>
        <w:rPr>
          <w:rFonts w:hint="eastAsia" w:ascii="楷体_GB2312" w:eastAsia="楷体_GB2312"/>
          <w:b/>
        </w:rPr>
        <w:t>（一）一般公共预算当年拨款规模变化情况</w:t>
      </w:r>
    </w:p>
    <w:p w14:paraId="2B7FA7C8">
      <w:pPr>
        <w:spacing w:line="600" w:lineRule="exact"/>
        <w:ind w:firstLine="632" w:firstLineChars="200"/>
        <w:rPr>
          <w:rFonts w:hint="eastAsia"/>
        </w:rPr>
      </w:pPr>
      <w:r>
        <w:rPr>
          <w:rFonts w:hint="eastAsia" w:ascii="Times New Roman" w:hAnsi="Times New Roman" w:cs="Times New Roman"/>
          <w:lang w:eastAsia="zh-CN"/>
        </w:rPr>
        <w:t>遂宁市财政局，2</w:t>
      </w:r>
      <w:r>
        <w:rPr>
          <w:rFonts w:hint="eastAsia"/>
          <w:lang w:eastAsia="zh-CN"/>
        </w:rPr>
        <w:t>025年</w:t>
      </w:r>
      <w:r>
        <w:rPr>
          <w:rFonts w:hint="eastAsia"/>
        </w:rPr>
        <w:t>收支总预算</w:t>
      </w:r>
      <w:r>
        <w:rPr>
          <w:rFonts w:hint="eastAsia"/>
          <w:lang w:val="en-US" w:eastAsia="zh-CN"/>
        </w:rPr>
        <w:t>2746.13</w:t>
      </w:r>
      <w:r>
        <w:rPr>
          <w:rFonts w:hint="eastAsia"/>
        </w:rPr>
        <w:t>万</w:t>
      </w:r>
      <w:r>
        <w:rPr>
          <w:rFonts w:hint="eastAsia" w:ascii="Times New Roman" w:hAnsi="Times New Roman" w:cs="Times New Roman"/>
          <w:lang w:eastAsia="zh-CN"/>
        </w:rPr>
        <w:t>元，较2024年收支预算总数增加</w:t>
      </w:r>
      <w:r>
        <w:rPr>
          <w:rFonts w:hint="eastAsia" w:ascii="Times New Roman" w:hAnsi="Times New Roman" w:cs="Times New Roman"/>
          <w:lang w:val="en-US" w:eastAsia="zh-CN"/>
        </w:rPr>
        <w:t>216.84</w:t>
      </w:r>
      <w:r>
        <w:rPr>
          <w:rFonts w:hint="eastAsia" w:ascii="Times New Roman" w:hAnsi="Times New Roman" w:cs="Times New Roman"/>
          <w:lang w:eastAsia="zh-CN"/>
        </w:rPr>
        <w:t>万元，主要原因是本年度新增</w:t>
      </w:r>
      <w:r>
        <w:rPr>
          <w:rFonts w:hint="eastAsia"/>
          <w:lang w:eastAsia="zh-CN"/>
        </w:rPr>
        <w:t>遂宁市金融服务中心，以及工资变动、政策资金争取工作经费、上派工作经费增加</w:t>
      </w:r>
      <w:r>
        <w:rPr>
          <w:rFonts w:hint="eastAsia"/>
        </w:rPr>
        <w:t>。</w:t>
      </w:r>
    </w:p>
    <w:p w14:paraId="5133E1B1">
      <w:pPr>
        <w:spacing w:line="600" w:lineRule="exact"/>
        <w:ind w:firstLine="632" w:firstLineChars="200"/>
        <w:rPr>
          <w:rFonts w:ascii="楷体_GB2312" w:eastAsia="楷体_GB2312"/>
          <w:b/>
        </w:rPr>
      </w:pPr>
      <w:r>
        <w:rPr>
          <w:rFonts w:hint="eastAsia" w:ascii="楷体_GB2312" w:eastAsia="楷体_GB2312"/>
          <w:b/>
        </w:rPr>
        <w:t>（二）一般公共预算当年拨款结构情况</w:t>
      </w:r>
    </w:p>
    <w:p w14:paraId="184B4D4E">
      <w:pPr>
        <w:spacing w:line="600" w:lineRule="exact"/>
        <w:ind w:firstLine="632" w:firstLineChars="200"/>
        <w:rPr>
          <w:rFonts w:hint="eastAsia" w:ascii="Times New Roman" w:hAnsi="Times New Roman" w:cs="Times New Roman"/>
          <w:highlight w:val="none"/>
          <w:lang w:val="en-US" w:eastAsia="zh-CN"/>
        </w:rPr>
      </w:pPr>
      <w:r>
        <w:rPr>
          <w:rFonts w:hint="eastAsia"/>
          <w:highlight w:val="none"/>
        </w:rPr>
        <w:t>一般公共服务支出</w:t>
      </w:r>
      <w:r>
        <w:rPr>
          <w:rFonts w:hint="eastAsia"/>
          <w:highlight w:val="none"/>
          <w:lang w:val="en-US" w:eastAsia="zh-CN"/>
        </w:rPr>
        <w:t>2342.68</w:t>
      </w:r>
      <w:r>
        <w:rPr>
          <w:rFonts w:hint="eastAsia"/>
          <w:highlight w:val="none"/>
        </w:rPr>
        <w:t>万元，占</w:t>
      </w:r>
      <w:r>
        <w:rPr>
          <w:rFonts w:hint="eastAsia"/>
          <w:highlight w:val="none"/>
          <w:lang w:val="en-US" w:eastAsia="zh-CN"/>
        </w:rPr>
        <w:t>85.31</w:t>
      </w:r>
      <w:r>
        <w:rPr>
          <w:rFonts w:hint="eastAsia"/>
          <w:highlight w:val="none"/>
        </w:rPr>
        <w:t>%；社会保障和就业支出</w:t>
      </w:r>
      <w:r>
        <w:rPr>
          <w:rFonts w:hint="eastAsia"/>
          <w:highlight w:val="none"/>
          <w:lang w:val="en-US" w:eastAsia="zh-CN"/>
        </w:rPr>
        <w:t>189.84</w:t>
      </w:r>
      <w:r>
        <w:rPr>
          <w:rFonts w:hint="eastAsia"/>
          <w:highlight w:val="none"/>
        </w:rPr>
        <w:t>万元，</w:t>
      </w:r>
      <w:r>
        <w:rPr>
          <w:rFonts w:hint="eastAsia" w:ascii="Times New Roman" w:hAnsi="Times New Roman" w:cs="Times New Roman"/>
          <w:highlight w:val="none"/>
          <w:lang w:val="en-US" w:eastAsia="zh-CN"/>
        </w:rPr>
        <w:t>占6.91%；卫生健康支出70.26万元，占2.56%；住房保障支出143.35元，占5.22%。</w:t>
      </w:r>
    </w:p>
    <w:p w14:paraId="5CD11C95">
      <w:pPr>
        <w:spacing w:line="600" w:lineRule="exact"/>
        <w:ind w:firstLine="632" w:firstLineChars="200"/>
        <w:rPr>
          <w:rFonts w:ascii="楷体_GB2312" w:eastAsia="楷体_GB2312"/>
          <w:b/>
        </w:rPr>
      </w:pPr>
      <w:r>
        <w:rPr>
          <w:rFonts w:hint="eastAsia" w:ascii="楷体_GB2312" w:eastAsia="楷体_GB2312"/>
          <w:b/>
        </w:rPr>
        <w:t>（三）一般公共预算当年拨款具体使用情况</w:t>
      </w:r>
    </w:p>
    <w:p w14:paraId="6D645871">
      <w:pPr>
        <w:spacing w:line="600" w:lineRule="exact"/>
        <w:ind w:firstLine="632" w:firstLineChars="200"/>
      </w:pPr>
      <w:r>
        <w:rPr>
          <w:rFonts w:hint="eastAsia"/>
        </w:rPr>
        <w:t xml:space="preserve">1. </w:t>
      </w:r>
      <w:r>
        <w:t>一般公共服务（类）财政事务（款）行政运行（项）202</w:t>
      </w:r>
      <w:r>
        <w:rPr>
          <w:rFonts w:hint="eastAsia"/>
          <w:lang w:val="en-US" w:eastAsia="zh-CN"/>
        </w:rPr>
        <w:t>5</w:t>
      </w:r>
      <w:r>
        <w:t>年预算数为</w:t>
      </w:r>
      <w:r>
        <w:rPr>
          <w:rFonts w:hint="eastAsia"/>
          <w:lang w:val="en-US" w:eastAsia="zh-CN"/>
        </w:rPr>
        <w:t>1383.71</w:t>
      </w:r>
      <w:r>
        <w:t>万元，主要用于：</w:t>
      </w:r>
      <w:r>
        <w:rPr>
          <w:szCs w:val="22"/>
        </w:rPr>
        <w:t>所属部门行政及参照公务员管理单位正常运转的基本支出，包括基本工资、津贴补贴、奖金、其他社会保障缴费、其他工资福利支出、办公费、印刷费、水费、电费、邮电费、物业管理费、差旅费、维修（护）费、会议费、公务接待费、劳务费、工会经费、福利费、公务用车运行维护费、其他交通费用、其他商品和服务支出等。</w:t>
      </w:r>
    </w:p>
    <w:p w14:paraId="07B04227">
      <w:pPr>
        <w:pStyle w:val="12"/>
        <w:spacing w:line="600" w:lineRule="exact"/>
        <w:ind w:firstLine="632"/>
        <w:rPr>
          <w:rFonts w:ascii="Times New Roman" w:hAnsi="Times New Roman"/>
        </w:rPr>
      </w:pPr>
      <w:r>
        <w:rPr>
          <w:rFonts w:ascii="Times New Roman" w:hAnsi="Times New Roman" w:eastAsia="仿宋_GB2312"/>
          <w:kern w:val="2"/>
          <w:szCs w:val="24"/>
        </w:rPr>
        <w:t>2. 一般公共服务（类）财政事务（款）一般行政管理事务（项）202</w:t>
      </w:r>
      <w:r>
        <w:rPr>
          <w:rFonts w:hint="eastAsia" w:ascii="Times New Roman" w:hAnsi="Times New Roman" w:eastAsia="仿宋_GB2312"/>
          <w:kern w:val="2"/>
          <w:szCs w:val="24"/>
          <w:lang w:val="en-US" w:eastAsia="zh-CN"/>
        </w:rPr>
        <w:t>5</w:t>
      </w:r>
      <w:r>
        <w:rPr>
          <w:rFonts w:ascii="Times New Roman" w:hAnsi="Times New Roman" w:eastAsia="仿宋_GB2312"/>
          <w:kern w:val="2"/>
          <w:szCs w:val="24"/>
        </w:rPr>
        <w:t>年预算数为</w:t>
      </w:r>
      <w:r>
        <w:rPr>
          <w:rFonts w:hint="eastAsia" w:ascii="Times New Roman" w:hAnsi="Times New Roman" w:eastAsia="仿宋_GB2312"/>
          <w:kern w:val="2"/>
          <w:szCs w:val="24"/>
          <w:lang w:val="en-US" w:eastAsia="zh-CN"/>
        </w:rPr>
        <w:t>110.93</w:t>
      </w:r>
      <w:r>
        <w:rPr>
          <w:rFonts w:ascii="Times New Roman" w:hAnsi="Times New Roman" w:eastAsia="仿宋_GB2312"/>
          <w:kern w:val="2"/>
          <w:szCs w:val="24"/>
        </w:rPr>
        <w:t>万元，主要用于：</w:t>
      </w:r>
      <w:r>
        <w:rPr>
          <w:rFonts w:ascii="Times New Roman" w:hAnsi="Times New Roman" w:eastAsia="仿宋_GB2312"/>
          <w:szCs w:val="22"/>
        </w:rPr>
        <w:t>所属部门行政及参照公务员管理单位</w:t>
      </w:r>
      <w:r>
        <w:rPr>
          <w:rFonts w:ascii="Times New Roman" w:hAnsi="Times New Roman" w:eastAsia="仿宋_GB2312"/>
        </w:rPr>
        <w:t>财政预决算编制经费、常年法律顾问及普法经费、设备购置经费</w:t>
      </w:r>
      <w:r>
        <w:rPr>
          <w:rFonts w:hint="eastAsia" w:ascii="Times New Roman" w:hAnsi="Times New Roman" w:eastAsia="仿宋_GB2312"/>
          <w:lang w:eastAsia="zh-CN"/>
        </w:rPr>
        <w:t>、四川政府采购一体化平台运营服务费、园区投融资重大项目审核经费、地方政府债务穿透式监测系统年度运维费支出</w:t>
      </w:r>
      <w:r>
        <w:rPr>
          <w:rFonts w:ascii="Times New Roman" w:hAnsi="Times New Roman" w:eastAsia="仿宋_GB2312"/>
        </w:rPr>
        <w:t>。</w:t>
      </w:r>
    </w:p>
    <w:p w14:paraId="6719640D">
      <w:pPr>
        <w:pStyle w:val="12"/>
        <w:spacing w:line="600" w:lineRule="exact"/>
        <w:ind w:firstLine="632"/>
        <w:rPr>
          <w:rFonts w:ascii="Times New Roman" w:hAnsi="Times New Roman" w:eastAsia="仿宋_GB2312"/>
          <w:kern w:val="2"/>
          <w:szCs w:val="24"/>
        </w:rPr>
      </w:pPr>
      <w:r>
        <w:rPr>
          <w:rFonts w:ascii="Times New Roman" w:hAnsi="Times New Roman" w:eastAsia="仿宋_GB2312"/>
          <w:kern w:val="2"/>
          <w:szCs w:val="24"/>
        </w:rPr>
        <w:t>3. 一般公共服务（类）财政事务（款）财政监察（项）202</w:t>
      </w:r>
      <w:r>
        <w:rPr>
          <w:rFonts w:hint="eastAsia" w:ascii="Times New Roman" w:hAnsi="Times New Roman" w:eastAsia="仿宋_GB2312"/>
          <w:kern w:val="2"/>
          <w:szCs w:val="24"/>
          <w:lang w:val="en-US" w:eastAsia="zh-CN"/>
        </w:rPr>
        <w:t>5</w:t>
      </w:r>
      <w:r>
        <w:rPr>
          <w:rFonts w:ascii="Times New Roman" w:hAnsi="Times New Roman" w:eastAsia="仿宋_GB2312"/>
          <w:kern w:val="2"/>
          <w:szCs w:val="24"/>
        </w:rPr>
        <w:t>年预算数为29万元，主要用于：</w:t>
      </w:r>
      <w:r>
        <w:rPr>
          <w:rFonts w:hint="eastAsia" w:ascii="Times New Roman" w:hAnsi="Times New Roman" w:eastAsia="仿宋_GB2312"/>
          <w:kern w:val="2"/>
          <w:szCs w:val="24"/>
        </w:rPr>
        <w:t>财政监督检查与预算绩效管理辅助服务经费</w:t>
      </w:r>
      <w:r>
        <w:rPr>
          <w:rFonts w:hint="eastAsia" w:ascii="Times New Roman" w:hAnsi="Times New Roman" w:eastAsia="仿宋_GB2312"/>
          <w:kern w:val="2"/>
          <w:szCs w:val="24"/>
          <w:lang w:eastAsia="zh-CN"/>
        </w:rPr>
        <w:t>支出</w:t>
      </w:r>
      <w:r>
        <w:rPr>
          <w:rFonts w:ascii="Times New Roman" w:hAnsi="Times New Roman" w:eastAsia="仿宋_GB2312"/>
          <w:kern w:val="2"/>
          <w:szCs w:val="24"/>
        </w:rPr>
        <w:t>。</w:t>
      </w:r>
    </w:p>
    <w:p w14:paraId="079A9C71">
      <w:pPr>
        <w:pStyle w:val="12"/>
        <w:spacing w:line="600" w:lineRule="exact"/>
        <w:ind w:firstLine="632"/>
        <w:rPr>
          <w:rFonts w:ascii="Times New Roman" w:hAnsi="Times New Roman" w:eastAsia="仿宋_GB2312"/>
        </w:rPr>
      </w:pPr>
      <w:r>
        <w:rPr>
          <w:rFonts w:ascii="Times New Roman" w:hAnsi="Times New Roman"/>
        </w:rPr>
        <w:t xml:space="preserve">4. </w:t>
      </w:r>
      <w:r>
        <w:rPr>
          <w:rStyle w:val="13"/>
          <w:rFonts w:ascii="Times New Roman" w:hAnsi="Times New Roman" w:eastAsia="仿宋_GB2312"/>
        </w:rPr>
        <w:t>一般公共服务（类）财政事务（款）财政委托业务支出（项）</w:t>
      </w:r>
      <w:r>
        <w:rPr>
          <w:rFonts w:ascii="Times New Roman" w:hAnsi="Times New Roman" w:eastAsia="仿宋_GB2312"/>
        </w:rPr>
        <w:t>202</w:t>
      </w:r>
      <w:r>
        <w:rPr>
          <w:rFonts w:hint="eastAsia" w:ascii="Times New Roman" w:hAnsi="Times New Roman" w:eastAsia="仿宋_GB2312"/>
          <w:lang w:val="en-US" w:eastAsia="zh-CN"/>
        </w:rPr>
        <w:t>5</w:t>
      </w:r>
      <w:r>
        <w:rPr>
          <w:rFonts w:ascii="Times New Roman" w:hAnsi="Times New Roman" w:eastAsia="仿宋_GB2312"/>
        </w:rPr>
        <w:t>年预算数为</w:t>
      </w:r>
      <w:r>
        <w:rPr>
          <w:rStyle w:val="13"/>
          <w:rFonts w:hint="eastAsia" w:ascii="Times New Roman" w:hAnsi="Times New Roman" w:eastAsia="仿宋_GB2312"/>
          <w:lang w:val="en-US" w:eastAsia="zh-CN"/>
        </w:rPr>
        <w:t>55</w:t>
      </w:r>
      <w:r>
        <w:rPr>
          <w:rFonts w:ascii="Times New Roman" w:hAnsi="Times New Roman" w:eastAsia="仿宋_GB2312"/>
        </w:rPr>
        <w:t>万元，主要用于：购买会计考试考务辅助服务经费。</w:t>
      </w:r>
    </w:p>
    <w:p w14:paraId="16DCD504">
      <w:pPr>
        <w:pStyle w:val="12"/>
        <w:spacing w:line="600" w:lineRule="exact"/>
        <w:ind w:firstLine="632"/>
        <w:rPr>
          <w:rFonts w:ascii="Times New Roman" w:hAnsi="Times New Roman" w:eastAsia="仿宋_GB2312"/>
        </w:rPr>
      </w:pPr>
      <w:r>
        <w:rPr>
          <w:rFonts w:ascii="Times New Roman" w:hAnsi="Times New Roman"/>
        </w:rPr>
        <w:t xml:space="preserve">5. </w:t>
      </w:r>
      <w:r>
        <w:rPr>
          <w:rStyle w:val="13"/>
          <w:rFonts w:ascii="Times New Roman" w:hAnsi="Times New Roman" w:eastAsia="仿宋_GB2312"/>
        </w:rPr>
        <w:t>一般公共服务（类）财政事务（款）事业运行（项）</w:t>
      </w:r>
      <w:r>
        <w:rPr>
          <w:rFonts w:ascii="Times New Roman" w:hAnsi="Times New Roman" w:eastAsia="仿宋_GB2312"/>
        </w:rPr>
        <w:t>202</w:t>
      </w:r>
      <w:r>
        <w:rPr>
          <w:rFonts w:hint="eastAsia" w:ascii="Times New Roman" w:hAnsi="Times New Roman" w:eastAsia="仿宋_GB2312"/>
          <w:lang w:val="en-US" w:eastAsia="zh-CN"/>
        </w:rPr>
        <w:t>5</w:t>
      </w:r>
      <w:r>
        <w:rPr>
          <w:rFonts w:ascii="Times New Roman" w:hAnsi="Times New Roman" w:eastAsia="仿宋_GB2312"/>
        </w:rPr>
        <w:t>年预算数为</w:t>
      </w:r>
      <w:r>
        <w:rPr>
          <w:rStyle w:val="13"/>
          <w:rFonts w:hint="eastAsia" w:ascii="Times New Roman" w:hAnsi="Times New Roman" w:eastAsia="仿宋_GB2312"/>
          <w:lang w:val="en-US" w:eastAsia="zh-CN"/>
        </w:rPr>
        <w:t>306.29</w:t>
      </w:r>
      <w:r>
        <w:rPr>
          <w:rFonts w:ascii="Times New Roman" w:hAnsi="Times New Roman" w:eastAsia="仿宋_GB2312"/>
        </w:rPr>
        <w:t>万元，主要用于：所属部门事业单位正常运转的基本支出，包括基本工资、津贴补贴、绩效工资、其他社会保障缴费、办公费、印刷费、水费、电费、邮电费、物业管理费、差旅费、维修（护）费、会议费、公务接待费、工会经费、福利费、其他商品和服务支出等。</w:t>
      </w:r>
    </w:p>
    <w:p w14:paraId="1C6CFC4A">
      <w:pPr>
        <w:pStyle w:val="12"/>
        <w:spacing w:line="600" w:lineRule="exact"/>
        <w:ind w:firstLine="632"/>
        <w:rPr>
          <w:rFonts w:ascii="Times New Roman" w:hAnsi="Times New Roman" w:eastAsia="仿宋_GB2312"/>
        </w:rPr>
      </w:pPr>
      <w:r>
        <w:rPr>
          <w:rFonts w:ascii="Times New Roman" w:hAnsi="Times New Roman"/>
        </w:rPr>
        <w:t xml:space="preserve">6. </w:t>
      </w:r>
      <w:r>
        <w:rPr>
          <w:rStyle w:val="13"/>
          <w:rFonts w:ascii="Times New Roman" w:hAnsi="Times New Roman" w:eastAsia="仿宋_GB2312"/>
        </w:rPr>
        <w:t>一般公共服务（类）财政事务（款）其他财政事务支出（项）</w:t>
      </w:r>
      <w:r>
        <w:rPr>
          <w:rFonts w:ascii="Times New Roman" w:hAnsi="Times New Roman" w:eastAsia="仿宋_GB2312"/>
        </w:rPr>
        <w:t>202</w:t>
      </w:r>
      <w:r>
        <w:rPr>
          <w:rFonts w:hint="eastAsia" w:ascii="Times New Roman" w:hAnsi="Times New Roman" w:eastAsia="仿宋_GB2312"/>
          <w:lang w:val="en-US" w:eastAsia="zh-CN"/>
        </w:rPr>
        <w:t>5</w:t>
      </w:r>
      <w:r>
        <w:rPr>
          <w:rFonts w:ascii="Times New Roman" w:hAnsi="Times New Roman" w:eastAsia="仿宋_GB2312"/>
        </w:rPr>
        <w:t>年预算数为</w:t>
      </w:r>
      <w:r>
        <w:rPr>
          <w:rStyle w:val="13"/>
          <w:rFonts w:hint="eastAsia" w:ascii="Times New Roman" w:hAnsi="Times New Roman" w:eastAsia="仿宋_GB2312"/>
          <w:lang w:val="en-US" w:eastAsia="zh-CN"/>
        </w:rPr>
        <w:t>456.77</w:t>
      </w:r>
      <w:r>
        <w:rPr>
          <w:rFonts w:ascii="Times New Roman" w:hAnsi="Times New Roman" w:eastAsia="仿宋_GB2312"/>
        </w:rPr>
        <w:t>万元，主要用于：所属部门事业单位</w:t>
      </w:r>
      <w:r>
        <w:rPr>
          <w:rFonts w:hint="eastAsia" w:ascii="Times New Roman" w:hAnsi="Times New Roman" w:eastAsia="仿宋_GB2312"/>
        </w:rPr>
        <w:t>遂宁市财政业务专网网络租赁</w:t>
      </w:r>
      <w:r>
        <w:rPr>
          <w:rFonts w:ascii="Times New Roman" w:hAnsi="Times New Roman" w:eastAsia="仿宋_GB2312"/>
        </w:rPr>
        <w:t>、</w:t>
      </w:r>
      <w:r>
        <w:rPr>
          <w:rFonts w:hint="eastAsia" w:ascii="Times New Roman" w:hAnsi="Times New Roman" w:eastAsia="仿宋_GB2312"/>
        </w:rPr>
        <w:t>预算管理一体化系统运维服务</w:t>
      </w:r>
      <w:r>
        <w:rPr>
          <w:rFonts w:ascii="Times New Roman" w:hAnsi="Times New Roman" w:eastAsia="仿宋_GB2312"/>
        </w:rPr>
        <w:t>、</w:t>
      </w:r>
      <w:r>
        <w:rPr>
          <w:rFonts w:hint="eastAsia" w:ascii="Times New Roman" w:hAnsi="Times New Roman" w:eastAsia="仿宋_GB2312"/>
        </w:rPr>
        <w:t>非税收入收缴电子化暨电子票据管理系统运行维护费</w:t>
      </w:r>
      <w:r>
        <w:rPr>
          <w:rFonts w:ascii="Times New Roman" w:hAnsi="Times New Roman" w:eastAsia="仿宋_GB2312"/>
        </w:rPr>
        <w:t>、</w:t>
      </w:r>
      <w:r>
        <w:rPr>
          <w:rFonts w:ascii="Times New Roman" w:hAnsi="Times New Roman" w:eastAsia="仿宋_GB2312"/>
          <w:kern w:val="2"/>
          <w:szCs w:val="24"/>
        </w:rPr>
        <w:t>票据技术审核经费</w:t>
      </w:r>
      <w:r>
        <w:rPr>
          <w:rFonts w:ascii="Times New Roman" w:hAnsi="Times New Roman" w:eastAsia="仿宋_GB2312"/>
        </w:rPr>
        <w:t>、项目评审服务费项目支出。</w:t>
      </w:r>
    </w:p>
    <w:p w14:paraId="0F6362DA">
      <w:pPr>
        <w:pStyle w:val="12"/>
        <w:spacing w:line="600" w:lineRule="exact"/>
        <w:ind w:firstLine="632"/>
        <w:rPr>
          <w:rFonts w:ascii="Times New Roman" w:hAnsi="Times New Roman" w:eastAsia="仿宋_GB2312"/>
        </w:rPr>
      </w:pPr>
      <w:r>
        <w:rPr>
          <w:rFonts w:ascii="Times New Roman" w:hAnsi="Times New Roman"/>
        </w:rPr>
        <w:t xml:space="preserve">7. </w:t>
      </w:r>
      <w:r>
        <w:rPr>
          <w:rStyle w:val="13"/>
          <w:rFonts w:ascii="Times New Roman" w:hAnsi="Times New Roman" w:eastAsia="仿宋_GB2312"/>
        </w:rPr>
        <w:t>社会保障和就业支出（类）行政事业单位养老支出（款）行政单位离退休（项）</w:t>
      </w:r>
      <w:r>
        <w:rPr>
          <w:rFonts w:ascii="Times New Roman" w:hAnsi="Times New Roman" w:eastAsia="仿宋_GB2312"/>
        </w:rPr>
        <w:t>202</w:t>
      </w:r>
      <w:r>
        <w:rPr>
          <w:rFonts w:hint="eastAsia" w:ascii="Times New Roman" w:hAnsi="Times New Roman" w:eastAsia="仿宋_GB2312"/>
          <w:lang w:val="en-US" w:eastAsia="zh-CN"/>
        </w:rPr>
        <w:t>5</w:t>
      </w:r>
      <w:r>
        <w:rPr>
          <w:rFonts w:ascii="Times New Roman" w:hAnsi="Times New Roman" w:eastAsia="仿宋_GB2312"/>
        </w:rPr>
        <w:t>年预算数为</w:t>
      </w:r>
      <w:r>
        <w:rPr>
          <w:rStyle w:val="13"/>
          <w:rFonts w:ascii="Times New Roman" w:hAnsi="Times New Roman" w:eastAsia="仿宋_GB2312"/>
        </w:rPr>
        <w:t>2</w:t>
      </w:r>
      <w:r>
        <w:rPr>
          <w:rStyle w:val="13"/>
          <w:rFonts w:hint="eastAsia" w:ascii="Times New Roman" w:hAnsi="Times New Roman" w:eastAsia="仿宋_GB2312"/>
          <w:lang w:val="en-US" w:eastAsia="zh-CN"/>
        </w:rPr>
        <w:t>3.85</w:t>
      </w:r>
      <w:r>
        <w:rPr>
          <w:rFonts w:ascii="Times New Roman" w:hAnsi="Times New Roman" w:eastAsia="仿宋_GB2312"/>
        </w:rPr>
        <w:t>万元，主要用于：</w:t>
      </w:r>
      <w:r>
        <w:rPr>
          <w:rFonts w:ascii="Times New Roman" w:hAnsi="Times New Roman" w:eastAsia="仿宋_GB2312"/>
          <w:szCs w:val="22"/>
        </w:rPr>
        <w:t>所属部门行政及参照公务员管理单位</w:t>
      </w:r>
      <w:r>
        <w:rPr>
          <w:rFonts w:ascii="Times New Roman" w:hAnsi="Times New Roman" w:eastAsia="仿宋_GB2312"/>
        </w:rPr>
        <w:t>离退休人员医疗费补助及公用经费。</w:t>
      </w:r>
    </w:p>
    <w:p w14:paraId="72C6A520">
      <w:pPr>
        <w:pStyle w:val="12"/>
        <w:spacing w:line="600" w:lineRule="exact"/>
        <w:ind w:firstLine="632"/>
        <w:rPr>
          <w:rFonts w:ascii="Times New Roman" w:hAnsi="Times New Roman" w:eastAsia="仿宋_GB2312"/>
        </w:rPr>
      </w:pPr>
      <w:r>
        <w:rPr>
          <w:rFonts w:ascii="Times New Roman" w:hAnsi="Times New Roman"/>
        </w:rPr>
        <w:t xml:space="preserve">8. </w:t>
      </w:r>
      <w:r>
        <w:rPr>
          <w:rStyle w:val="13"/>
          <w:rFonts w:ascii="Times New Roman" w:hAnsi="Times New Roman" w:eastAsia="仿宋_GB2312"/>
        </w:rPr>
        <w:t>社会保障和就业支出（类）行政事业单位养老支出（款）事业单位离退休（项）</w:t>
      </w:r>
      <w:r>
        <w:rPr>
          <w:rFonts w:ascii="Times New Roman" w:hAnsi="Times New Roman" w:eastAsia="仿宋_GB2312"/>
        </w:rPr>
        <w:t>202</w:t>
      </w:r>
      <w:r>
        <w:rPr>
          <w:rFonts w:hint="eastAsia" w:ascii="Times New Roman" w:hAnsi="Times New Roman" w:eastAsia="仿宋_GB2312"/>
          <w:lang w:val="en-US" w:eastAsia="zh-CN"/>
        </w:rPr>
        <w:t>5</w:t>
      </w:r>
      <w:r>
        <w:rPr>
          <w:rFonts w:ascii="Times New Roman" w:hAnsi="Times New Roman" w:eastAsia="仿宋_GB2312"/>
        </w:rPr>
        <w:t>年预算数为</w:t>
      </w:r>
      <w:r>
        <w:rPr>
          <w:rStyle w:val="13"/>
          <w:rFonts w:ascii="Times New Roman" w:hAnsi="Times New Roman" w:eastAsia="仿宋_GB2312"/>
        </w:rPr>
        <w:t>0.6</w:t>
      </w:r>
      <w:r>
        <w:rPr>
          <w:rStyle w:val="13"/>
          <w:rFonts w:hint="eastAsia" w:ascii="Times New Roman" w:hAnsi="Times New Roman" w:eastAsia="仿宋_GB2312"/>
          <w:lang w:val="en-US" w:eastAsia="zh-CN"/>
        </w:rPr>
        <w:t>9</w:t>
      </w:r>
      <w:r>
        <w:rPr>
          <w:rFonts w:ascii="Times New Roman" w:hAnsi="Times New Roman" w:eastAsia="仿宋_GB2312"/>
        </w:rPr>
        <w:t>万元，主要用于：</w:t>
      </w:r>
      <w:r>
        <w:rPr>
          <w:rFonts w:ascii="Times New Roman" w:hAnsi="Times New Roman" w:eastAsia="仿宋_GB2312"/>
          <w:szCs w:val="22"/>
        </w:rPr>
        <w:t>所属部门</w:t>
      </w:r>
      <w:r>
        <w:rPr>
          <w:rFonts w:ascii="Times New Roman" w:hAnsi="Times New Roman" w:eastAsia="仿宋_GB2312"/>
        </w:rPr>
        <w:t>事业单位退休人员医疗费补助及公用经费。</w:t>
      </w:r>
    </w:p>
    <w:p w14:paraId="0C46378E">
      <w:pPr>
        <w:pStyle w:val="12"/>
        <w:spacing w:line="600" w:lineRule="exact"/>
        <w:ind w:firstLine="632"/>
        <w:rPr>
          <w:rFonts w:ascii="Times New Roman" w:hAnsi="Times New Roman" w:eastAsia="仿宋_GB2312"/>
        </w:rPr>
      </w:pPr>
      <w:r>
        <w:rPr>
          <w:rFonts w:ascii="Times New Roman" w:hAnsi="Times New Roman"/>
        </w:rPr>
        <w:t xml:space="preserve">9. </w:t>
      </w:r>
      <w:r>
        <w:rPr>
          <w:rStyle w:val="13"/>
          <w:rFonts w:ascii="Times New Roman" w:hAnsi="Times New Roman" w:eastAsia="仿宋_GB2312"/>
        </w:rPr>
        <w:t>社会保障和就业支出（类）行政事业单位养老支出（款）机关事业单位基本养老</w:t>
      </w:r>
      <w:r>
        <w:rPr>
          <w:rStyle w:val="13"/>
          <w:rFonts w:hint="eastAsia" w:ascii="Times New Roman" w:hAnsi="Times New Roman" w:eastAsia="仿宋_GB2312"/>
          <w:lang w:eastAsia="zh-CN"/>
        </w:rPr>
        <w:t>保险</w:t>
      </w:r>
      <w:r>
        <w:rPr>
          <w:rStyle w:val="13"/>
          <w:rFonts w:ascii="Times New Roman" w:hAnsi="Times New Roman" w:eastAsia="仿宋_GB2312"/>
        </w:rPr>
        <w:t>缴费支出（项）</w:t>
      </w:r>
      <w:r>
        <w:rPr>
          <w:rFonts w:ascii="Times New Roman" w:hAnsi="Times New Roman" w:eastAsia="仿宋_GB2312"/>
        </w:rPr>
        <w:t>202</w:t>
      </w:r>
      <w:r>
        <w:rPr>
          <w:rFonts w:hint="eastAsia" w:ascii="Times New Roman" w:hAnsi="Times New Roman" w:eastAsia="仿宋_GB2312"/>
          <w:lang w:val="en-US" w:eastAsia="zh-CN"/>
        </w:rPr>
        <w:t>5</w:t>
      </w:r>
      <w:r>
        <w:rPr>
          <w:rFonts w:ascii="Times New Roman" w:hAnsi="Times New Roman" w:eastAsia="仿宋_GB2312"/>
        </w:rPr>
        <w:t>年预算数为</w:t>
      </w:r>
      <w:r>
        <w:rPr>
          <w:rStyle w:val="13"/>
          <w:rFonts w:hint="eastAsia" w:ascii="Times New Roman" w:hAnsi="Times New Roman" w:eastAsia="仿宋_GB2312"/>
          <w:lang w:val="en-US" w:eastAsia="zh-CN"/>
        </w:rPr>
        <w:t>165.30</w:t>
      </w:r>
      <w:r>
        <w:rPr>
          <w:rFonts w:ascii="Times New Roman" w:hAnsi="Times New Roman" w:eastAsia="仿宋_GB2312"/>
        </w:rPr>
        <w:t>万元，主要用于：所属部门各单位在职人员养老保险单位部分支出。</w:t>
      </w:r>
    </w:p>
    <w:p w14:paraId="5831B24C">
      <w:pPr>
        <w:pStyle w:val="12"/>
        <w:spacing w:line="600" w:lineRule="exact"/>
        <w:ind w:firstLine="632"/>
        <w:rPr>
          <w:rStyle w:val="13"/>
          <w:rFonts w:ascii="Times New Roman" w:hAnsi="Times New Roman" w:eastAsia="黑体"/>
        </w:rPr>
      </w:pPr>
      <w:r>
        <w:rPr>
          <w:rFonts w:ascii="Times New Roman" w:hAnsi="Times New Roman"/>
        </w:rPr>
        <w:t xml:space="preserve">10. </w:t>
      </w:r>
      <w:r>
        <w:rPr>
          <w:rStyle w:val="13"/>
          <w:rFonts w:ascii="Times New Roman" w:hAnsi="Times New Roman" w:eastAsia="仿宋_GB2312"/>
        </w:rPr>
        <w:t>卫生健康支出（类）行政事业单位医疗（款）行政单位医疗（项）</w:t>
      </w:r>
      <w:r>
        <w:rPr>
          <w:rFonts w:ascii="Times New Roman" w:hAnsi="Times New Roman" w:eastAsia="仿宋_GB2312"/>
        </w:rPr>
        <w:t>202</w:t>
      </w:r>
      <w:r>
        <w:rPr>
          <w:rFonts w:hint="eastAsia" w:ascii="Times New Roman" w:hAnsi="Times New Roman" w:eastAsia="仿宋_GB2312"/>
          <w:lang w:val="en-US" w:eastAsia="zh-CN"/>
        </w:rPr>
        <w:t>5</w:t>
      </w:r>
      <w:r>
        <w:rPr>
          <w:rFonts w:ascii="Times New Roman" w:hAnsi="Times New Roman" w:eastAsia="仿宋_GB2312"/>
        </w:rPr>
        <w:t>年预算数为</w:t>
      </w:r>
      <w:r>
        <w:rPr>
          <w:rStyle w:val="13"/>
          <w:rFonts w:ascii="Times New Roman" w:hAnsi="Times New Roman" w:eastAsia="仿宋_GB2312"/>
        </w:rPr>
        <w:t>5</w:t>
      </w:r>
      <w:r>
        <w:rPr>
          <w:rStyle w:val="13"/>
          <w:rFonts w:hint="eastAsia" w:ascii="Times New Roman" w:hAnsi="Times New Roman" w:eastAsia="仿宋_GB2312"/>
          <w:lang w:val="en-US" w:eastAsia="zh-CN"/>
        </w:rPr>
        <w:t>8.49</w:t>
      </w:r>
      <w:r>
        <w:rPr>
          <w:rFonts w:ascii="Times New Roman" w:hAnsi="Times New Roman" w:eastAsia="仿宋_GB2312"/>
        </w:rPr>
        <w:t>万元，主要用于：</w:t>
      </w:r>
      <w:r>
        <w:rPr>
          <w:rFonts w:ascii="Times New Roman" w:hAnsi="Times New Roman" w:eastAsia="仿宋_GB2312"/>
          <w:szCs w:val="22"/>
        </w:rPr>
        <w:t>所属部门行政及参照公务员管理单位</w:t>
      </w:r>
      <w:r>
        <w:rPr>
          <w:rFonts w:ascii="Times New Roman" w:hAnsi="Times New Roman" w:eastAsia="仿宋_GB2312"/>
        </w:rPr>
        <w:t>职工医疗保险单位部分支出。</w:t>
      </w:r>
    </w:p>
    <w:p w14:paraId="3CD1B81B">
      <w:pPr>
        <w:pStyle w:val="12"/>
        <w:spacing w:line="600" w:lineRule="exact"/>
        <w:ind w:firstLine="632"/>
        <w:rPr>
          <w:rStyle w:val="13"/>
          <w:rFonts w:ascii="Times New Roman" w:hAnsi="Times New Roman" w:eastAsia="黑体"/>
        </w:rPr>
      </w:pPr>
      <w:r>
        <w:rPr>
          <w:rFonts w:ascii="Times New Roman" w:hAnsi="Times New Roman"/>
        </w:rPr>
        <w:t xml:space="preserve">11. </w:t>
      </w:r>
      <w:r>
        <w:rPr>
          <w:rStyle w:val="13"/>
          <w:rFonts w:ascii="Times New Roman" w:hAnsi="Times New Roman" w:eastAsia="仿宋_GB2312"/>
        </w:rPr>
        <w:t>卫生健康支出（类）行政事业单位医疗（款）事业单位医疗（项）</w:t>
      </w:r>
      <w:r>
        <w:rPr>
          <w:rFonts w:ascii="Times New Roman" w:hAnsi="Times New Roman" w:eastAsia="仿宋_GB2312"/>
        </w:rPr>
        <w:t>202</w:t>
      </w:r>
      <w:r>
        <w:rPr>
          <w:rFonts w:hint="eastAsia" w:ascii="Times New Roman" w:hAnsi="Times New Roman" w:eastAsia="仿宋_GB2312"/>
          <w:lang w:val="en-US" w:eastAsia="zh-CN"/>
        </w:rPr>
        <w:t>5</w:t>
      </w:r>
      <w:r>
        <w:rPr>
          <w:rFonts w:ascii="Times New Roman" w:hAnsi="Times New Roman" w:eastAsia="仿宋_GB2312"/>
        </w:rPr>
        <w:t>年预算数为</w:t>
      </w:r>
      <w:r>
        <w:rPr>
          <w:rStyle w:val="13"/>
          <w:rFonts w:ascii="Times New Roman" w:hAnsi="Times New Roman" w:eastAsia="仿宋_GB2312"/>
        </w:rPr>
        <w:t>1</w:t>
      </w:r>
      <w:r>
        <w:rPr>
          <w:rStyle w:val="13"/>
          <w:rFonts w:hint="eastAsia" w:ascii="Times New Roman" w:hAnsi="Times New Roman" w:eastAsia="仿宋_GB2312"/>
          <w:lang w:val="en-US" w:eastAsia="zh-CN"/>
        </w:rPr>
        <w:t>1.77</w:t>
      </w:r>
      <w:r>
        <w:rPr>
          <w:rFonts w:ascii="Times New Roman" w:hAnsi="Times New Roman" w:eastAsia="仿宋_GB2312"/>
        </w:rPr>
        <w:t>万元，主要用于：</w:t>
      </w:r>
      <w:r>
        <w:rPr>
          <w:rFonts w:ascii="Times New Roman" w:hAnsi="Times New Roman" w:eastAsia="仿宋_GB2312"/>
          <w:szCs w:val="22"/>
        </w:rPr>
        <w:t>所属部门</w:t>
      </w:r>
      <w:r>
        <w:rPr>
          <w:rFonts w:ascii="Times New Roman" w:hAnsi="Times New Roman" w:eastAsia="仿宋_GB2312"/>
        </w:rPr>
        <w:t>事业单位职工医疗保险单位部分支出。</w:t>
      </w:r>
    </w:p>
    <w:p w14:paraId="70E184E6">
      <w:pPr>
        <w:pStyle w:val="12"/>
        <w:spacing w:line="600" w:lineRule="exact"/>
        <w:ind w:firstLine="632"/>
        <w:rPr>
          <w:rFonts w:ascii="Times New Roman" w:hAnsi="Times New Roman"/>
          <w:u w:val="single"/>
        </w:rPr>
      </w:pPr>
      <w:r>
        <w:rPr>
          <w:rFonts w:ascii="Times New Roman" w:hAnsi="Times New Roman"/>
        </w:rPr>
        <w:t xml:space="preserve">12. </w:t>
      </w:r>
      <w:r>
        <w:rPr>
          <w:rStyle w:val="13"/>
          <w:rFonts w:ascii="Times New Roman" w:hAnsi="Times New Roman" w:eastAsia="仿宋_GB2312"/>
        </w:rPr>
        <w:t>住房保障支出（类）住房改革支出（款）住房公积金（项）</w:t>
      </w:r>
      <w:r>
        <w:rPr>
          <w:rFonts w:ascii="Times New Roman" w:hAnsi="Times New Roman" w:eastAsia="仿宋_GB2312"/>
        </w:rPr>
        <w:t>202</w:t>
      </w:r>
      <w:r>
        <w:rPr>
          <w:rFonts w:hint="eastAsia" w:ascii="Times New Roman" w:hAnsi="Times New Roman" w:eastAsia="仿宋_GB2312"/>
          <w:lang w:val="en-US" w:eastAsia="zh-CN"/>
        </w:rPr>
        <w:t>5</w:t>
      </w:r>
      <w:r>
        <w:rPr>
          <w:rFonts w:ascii="Times New Roman" w:hAnsi="Times New Roman" w:eastAsia="仿宋_GB2312"/>
        </w:rPr>
        <w:t>年预算数为</w:t>
      </w:r>
      <w:r>
        <w:rPr>
          <w:rStyle w:val="13"/>
          <w:rFonts w:ascii="Times New Roman" w:hAnsi="Times New Roman" w:eastAsia="仿宋_GB2312"/>
        </w:rPr>
        <w:t>14</w:t>
      </w:r>
      <w:r>
        <w:rPr>
          <w:rStyle w:val="13"/>
          <w:rFonts w:hint="eastAsia" w:ascii="Times New Roman" w:hAnsi="Times New Roman" w:eastAsia="仿宋_GB2312"/>
          <w:lang w:val="en-US" w:eastAsia="zh-CN"/>
        </w:rPr>
        <w:t>3.35</w:t>
      </w:r>
      <w:r>
        <w:rPr>
          <w:rFonts w:ascii="Times New Roman" w:hAnsi="Times New Roman" w:eastAsia="仿宋_GB2312"/>
        </w:rPr>
        <w:t>万元，主要用于：所属部门各单位职工公积金单位部分支出。</w:t>
      </w:r>
    </w:p>
    <w:p w14:paraId="753A21C7">
      <w:pPr>
        <w:spacing w:line="600" w:lineRule="exact"/>
        <w:ind w:firstLine="632" w:firstLineChars="200"/>
        <w:rPr>
          <w:rFonts w:hint="eastAsia"/>
          <w:u w:val="single"/>
        </w:rPr>
      </w:pPr>
    </w:p>
    <w:p w14:paraId="16690FDB">
      <w:pPr>
        <w:spacing w:line="600" w:lineRule="exact"/>
        <w:ind w:firstLine="632" w:firstLineChars="200"/>
        <w:rPr>
          <w:rFonts w:hint="eastAsia" w:ascii="黑体" w:hAnsi="黑体" w:eastAsia="黑体"/>
        </w:rPr>
      </w:pPr>
      <w:r>
        <w:rPr>
          <w:rFonts w:hint="eastAsia" w:ascii="黑体" w:hAnsi="黑体" w:eastAsia="黑体"/>
        </w:rPr>
        <w:t>六、一般公共预算基本支出情况说明</w:t>
      </w:r>
    </w:p>
    <w:p w14:paraId="057A3939">
      <w:pPr>
        <w:spacing w:line="600" w:lineRule="exact"/>
        <w:ind w:firstLine="632" w:firstLineChars="200"/>
        <w:rPr>
          <w:rFonts w:hint="eastAsia"/>
        </w:rPr>
      </w:pPr>
      <w:r>
        <w:rPr>
          <w:rFonts w:hint="eastAsia"/>
          <w:lang w:eastAsia="zh-CN"/>
        </w:rPr>
        <w:t>遂宁市财政局2025年</w:t>
      </w:r>
      <w:r>
        <w:rPr>
          <w:rFonts w:hint="eastAsia"/>
        </w:rPr>
        <w:t>一般公共预算基本支出</w:t>
      </w:r>
      <w:r>
        <w:rPr>
          <w:rFonts w:hint="eastAsia"/>
          <w:lang w:val="en-US" w:eastAsia="zh-CN"/>
        </w:rPr>
        <w:t>2094.43</w:t>
      </w:r>
      <w:r>
        <w:rPr>
          <w:rFonts w:hint="eastAsia"/>
        </w:rPr>
        <w:t>万元，其中：</w:t>
      </w:r>
    </w:p>
    <w:p w14:paraId="0FE480A8">
      <w:pPr>
        <w:spacing w:line="600" w:lineRule="exact"/>
        <w:ind w:firstLine="632" w:firstLineChars="200"/>
        <w:rPr>
          <w:color w:val="FF0000"/>
        </w:rPr>
      </w:pPr>
      <w:r>
        <w:rPr>
          <w:rFonts w:hint="eastAsia"/>
        </w:rPr>
        <w:t>人员经费</w:t>
      </w:r>
      <w:r>
        <w:rPr>
          <w:rFonts w:hint="eastAsia"/>
          <w:lang w:val="en-US" w:eastAsia="zh-CN"/>
        </w:rPr>
        <w:t>1506.15</w:t>
      </w:r>
      <w:r>
        <w:rPr>
          <w:rFonts w:hint="eastAsia"/>
        </w:rPr>
        <w:t>万元，主要包括：</w:t>
      </w:r>
      <w:r>
        <w:t>基本工资、津贴补贴、奖金、绩效工资、机关事业单位基本养老保险缴费、职工基本医疗保险缴费、其他社会保障缴费、住房公积金、其他工资福利支出、医疗费补</w:t>
      </w:r>
      <w:r>
        <w:rPr>
          <w:color w:val="auto"/>
        </w:rPr>
        <w:t>助。</w:t>
      </w:r>
    </w:p>
    <w:p w14:paraId="02737FDC">
      <w:pPr>
        <w:spacing w:line="600" w:lineRule="exact"/>
        <w:ind w:firstLine="632" w:firstLineChars="200"/>
        <w:rPr>
          <w:color w:val="FF0000"/>
        </w:rPr>
      </w:pPr>
      <w:r>
        <w:rPr>
          <w:rFonts w:hint="eastAsia"/>
        </w:rPr>
        <w:t>公用经费</w:t>
      </w:r>
      <w:r>
        <w:rPr>
          <w:rFonts w:hint="eastAsia"/>
          <w:lang w:val="en-US" w:eastAsia="zh-CN"/>
        </w:rPr>
        <w:t>588.29</w:t>
      </w:r>
      <w:r>
        <w:rPr>
          <w:rFonts w:hint="eastAsia"/>
        </w:rPr>
        <w:t>万元，主要包括：</w:t>
      </w:r>
      <w:r>
        <w:t>办公费、印刷费、水费、电费、邮电费、差旅费、物业管理费、维修（护）费、会议费、公务接待费、劳务费、工会经费、福利费、公务用车运行维护费、其他交通费、其他商品和服务支出</w:t>
      </w:r>
      <w:r>
        <w:rPr>
          <w:color w:val="auto"/>
        </w:rPr>
        <w:t>。</w:t>
      </w:r>
    </w:p>
    <w:p w14:paraId="5CA2E902">
      <w:pPr>
        <w:spacing w:line="600" w:lineRule="exact"/>
        <w:ind w:firstLine="632" w:firstLineChars="200"/>
        <w:rPr>
          <w:rFonts w:hint="eastAsia" w:ascii="黑体" w:hAnsi="黑体" w:eastAsia="黑体"/>
        </w:rPr>
      </w:pPr>
      <w:r>
        <w:rPr>
          <w:rFonts w:hint="eastAsia" w:ascii="黑体" w:hAnsi="黑体" w:eastAsia="黑体"/>
        </w:rPr>
        <w:t>七、“三公”经费财政拨款预算安排情况说明</w:t>
      </w:r>
    </w:p>
    <w:p w14:paraId="0F82C0BB">
      <w:pPr>
        <w:spacing w:line="600" w:lineRule="exact"/>
        <w:ind w:firstLine="632" w:firstLineChars="200"/>
        <w:rPr>
          <w:rFonts w:hint="eastAsia"/>
          <w:color w:val="FF0000"/>
          <w:u w:val="single"/>
        </w:rPr>
      </w:pPr>
      <w:r>
        <w:rPr>
          <w:rFonts w:hint="eastAsia"/>
          <w:lang w:eastAsia="zh-CN"/>
        </w:rPr>
        <w:t>遂宁市财政局2025年</w:t>
      </w:r>
      <w:r>
        <w:rPr>
          <w:rFonts w:hint="eastAsia"/>
        </w:rPr>
        <w:t>“三公”经费财政拨款预算数</w:t>
      </w:r>
      <w:r>
        <w:rPr>
          <w:rFonts w:hint="eastAsia"/>
          <w:lang w:val="en-US" w:eastAsia="zh-CN"/>
        </w:rPr>
        <w:t>10.62</w:t>
      </w:r>
      <w:r>
        <w:t>万元，其中：因公出国（境）经费0.00万元，公务接待费</w:t>
      </w:r>
      <w:r>
        <w:rPr>
          <w:rFonts w:hint="eastAsia"/>
          <w:lang w:val="en-US" w:eastAsia="zh-CN"/>
        </w:rPr>
        <w:t>7.62</w:t>
      </w:r>
      <w:r>
        <w:t>万元，公务用车购置及运行维护费</w:t>
      </w:r>
      <w:r>
        <w:rPr>
          <w:rFonts w:hint="eastAsia"/>
          <w:lang w:eastAsia="zh-CN"/>
        </w:rPr>
        <w:t>年初预算</w:t>
      </w:r>
      <w:r>
        <w:rPr>
          <w:rFonts w:hint="eastAsia"/>
          <w:lang w:val="en-US" w:eastAsia="zh-CN"/>
        </w:rPr>
        <w:t>3</w:t>
      </w:r>
      <w:r>
        <w:t>万元</w:t>
      </w:r>
      <w:r>
        <w:rPr>
          <w:rFonts w:hint="eastAsia"/>
          <w:lang w:eastAsia="zh-CN"/>
        </w:rPr>
        <w:t>，后续通过程序追加</w:t>
      </w:r>
      <w:r>
        <w:rPr>
          <w:rFonts w:hint="eastAsia"/>
        </w:rPr>
        <w:t>公务用车购</w:t>
      </w:r>
      <w:r>
        <w:rPr>
          <w:rFonts w:hint="eastAsia"/>
          <w:color w:val="auto"/>
        </w:rPr>
        <w:t>置费</w:t>
      </w:r>
      <w:r>
        <w:rPr>
          <w:rFonts w:hint="default"/>
          <w:color w:val="auto"/>
        </w:rPr>
        <w:t>18</w:t>
      </w:r>
      <w:r>
        <w:rPr>
          <w:rFonts w:hint="eastAsia"/>
          <w:color w:val="auto"/>
          <w:lang w:eastAsia="zh-CN"/>
        </w:rPr>
        <w:t>万元</w:t>
      </w:r>
      <w:r>
        <w:rPr>
          <w:rFonts w:hint="eastAsia"/>
          <w:color w:val="auto"/>
        </w:rPr>
        <w:t>。</w:t>
      </w:r>
    </w:p>
    <w:p w14:paraId="5D07A485">
      <w:pPr>
        <w:spacing w:line="600" w:lineRule="exact"/>
        <w:ind w:firstLine="632" w:firstLineChars="200"/>
        <w:rPr>
          <w:rFonts w:hint="eastAsia"/>
        </w:rPr>
      </w:pPr>
      <w:r>
        <w:rPr>
          <w:rFonts w:eastAsia="楷体_GB2312"/>
          <w:b/>
        </w:rPr>
        <w:t>（一）因公出国（境）经费较</w:t>
      </w:r>
      <w:r>
        <w:rPr>
          <w:rFonts w:hint="eastAsia" w:eastAsia="楷体_GB2312"/>
          <w:b/>
          <w:lang w:eastAsia="zh-CN"/>
        </w:rPr>
        <w:t>2024</w:t>
      </w:r>
      <w:r>
        <w:rPr>
          <w:rFonts w:eastAsia="楷体_GB2312"/>
          <w:b/>
        </w:rPr>
        <w:t>年预算持平</w:t>
      </w:r>
      <w:r>
        <w:rPr>
          <w:rFonts w:hint="eastAsia"/>
        </w:rPr>
        <w:t>。</w:t>
      </w:r>
    </w:p>
    <w:p w14:paraId="755BB59A">
      <w:pPr>
        <w:spacing w:line="600" w:lineRule="exact"/>
        <w:ind w:firstLine="632" w:firstLineChars="200"/>
      </w:pPr>
      <w:r>
        <w:rPr>
          <w:rFonts w:hint="eastAsia" w:eastAsia="楷体_GB2312"/>
          <w:b/>
        </w:rPr>
        <w:t>（二）公务接待费较</w:t>
      </w:r>
      <w:r>
        <w:rPr>
          <w:rFonts w:hint="eastAsia" w:eastAsia="楷体_GB2312"/>
          <w:b/>
          <w:lang w:eastAsia="zh-CN"/>
        </w:rPr>
        <w:t>2024年</w:t>
      </w:r>
      <w:r>
        <w:rPr>
          <w:rFonts w:hint="eastAsia" w:eastAsia="楷体_GB2312"/>
          <w:b/>
        </w:rPr>
        <w:t>预算</w:t>
      </w:r>
      <w:r>
        <w:rPr>
          <w:rFonts w:hint="eastAsia" w:eastAsia="楷体_GB2312"/>
          <w:b/>
          <w:lang w:eastAsia="zh-CN"/>
        </w:rPr>
        <w:t>下降</w:t>
      </w:r>
      <w:r>
        <w:rPr>
          <w:rFonts w:hint="eastAsia" w:eastAsia="楷体_GB2312"/>
          <w:b/>
          <w:lang w:val="en-US" w:eastAsia="zh-CN"/>
        </w:rPr>
        <w:t>21.77</w:t>
      </w:r>
      <w:r>
        <w:rPr>
          <w:rFonts w:hint="eastAsia" w:eastAsia="楷体_GB2312"/>
          <w:b/>
        </w:rPr>
        <w:t>%。。</w:t>
      </w:r>
      <w:r>
        <w:rPr>
          <w:rFonts w:hint="eastAsia"/>
        </w:rPr>
        <w:t>主要原因是</w:t>
      </w:r>
      <w:r>
        <w:rPr>
          <w:rFonts w:hint="eastAsia"/>
          <w:lang w:eastAsia="zh-CN"/>
        </w:rPr>
        <w:t>深入贯彻落实市委、市政府关于全面实施预算绩效管理和坚持过“紧日子”的决策部署，强化预算刚性约束</w:t>
      </w:r>
      <w:r>
        <w:rPr>
          <w:rFonts w:hint="eastAsia"/>
        </w:rPr>
        <w:t>。</w:t>
      </w:r>
    </w:p>
    <w:p w14:paraId="7FD22883">
      <w:pPr>
        <w:spacing w:line="600" w:lineRule="exact"/>
        <w:ind w:firstLine="632" w:firstLineChars="200"/>
        <w:rPr>
          <w:rFonts w:hint="eastAsia"/>
        </w:rPr>
      </w:pPr>
      <w:r>
        <w:rPr>
          <w:rFonts w:hint="eastAsia"/>
          <w:lang w:eastAsia="zh-CN"/>
        </w:rPr>
        <w:t>2025年</w:t>
      </w:r>
      <w:r>
        <w:rPr>
          <w:rFonts w:hint="eastAsia"/>
        </w:rPr>
        <w:t>公务接待费计划用于</w:t>
      </w:r>
      <w:r>
        <w:rPr>
          <w:color w:val="000000"/>
          <w:kern w:val="0"/>
          <w:szCs w:val="32"/>
          <w:lang w:bidi="ar"/>
        </w:rPr>
        <w:t>接待省厅、区</w:t>
      </w:r>
      <w:r>
        <w:rPr>
          <w:rFonts w:hint="eastAsia"/>
          <w:color w:val="000000"/>
          <w:kern w:val="0"/>
          <w:szCs w:val="32"/>
          <w:lang w:eastAsia="zh-CN" w:bidi="ar"/>
        </w:rPr>
        <w:t>（</w:t>
      </w:r>
      <w:r>
        <w:rPr>
          <w:color w:val="000000"/>
          <w:kern w:val="0"/>
          <w:szCs w:val="32"/>
          <w:lang w:bidi="ar"/>
        </w:rPr>
        <w:t>县</w:t>
      </w:r>
      <w:r>
        <w:rPr>
          <w:rFonts w:hint="eastAsia"/>
          <w:color w:val="000000"/>
          <w:kern w:val="0"/>
          <w:szCs w:val="32"/>
          <w:lang w:eastAsia="zh-CN" w:bidi="ar"/>
        </w:rPr>
        <w:t>）</w:t>
      </w:r>
      <w:r>
        <w:rPr>
          <w:color w:val="000000"/>
          <w:kern w:val="0"/>
          <w:szCs w:val="32"/>
          <w:lang w:bidi="ar"/>
        </w:rPr>
        <w:t>及其他市</w:t>
      </w:r>
      <w:r>
        <w:rPr>
          <w:rFonts w:hint="eastAsia"/>
          <w:color w:val="000000"/>
          <w:kern w:val="0"/>
          <w:szCs w:val="32"/>
          <w:lang w:eastAsia="zh-CN" w:bidi="ar"/>
        </w:rPr>
        <w:t>（</w:t>
      </w:r>
      <w:r>
        <w:rPr>
          <w:color w:val="000000"/>
          <w:kern w:val="0"/>
          <w:szCs w:val="32"/>
          <w:lang w:bidi="ar"/>
        </w:rPr>
        <w:t>州</w:t>
      </w:r>
      <w:r>
        <w:rPr>
          <w:rFonts w:hint="eastAsia"/>
          <w:color w:val="000000"/>
          <w:kern w:val="0"/>
          <w:szCs w:val="32"/>
          <w:lang w:eastAsia="zh-CN" w:bidi="ar"/>
        </w:rPr>
        <w:t>）</w:t>
      </w:r>
      <w:r>
        <w:rPr>
          <w:color w:val="000000"/>
          <w:kern w:val="0"/>
          <w:szCs w:val="32"/>
          <w:lang w:bidi="ar"/>
        </w:rPr>
        <w:t>调研、考察、指导等公务活动相关开支。</w:t>
      </w:r>
    </w:p>
    <w:p w14:paraId="06DA5BF2">
      <w:pPr>
        <w:spacing w:line="600" w:lineRule="exact"/>
        <w:ind w:firstLine="632" w:firstLineChars="200"/>
        <w:rPr>
          <w:rFonts w:hint="eastAsia"/>
        </w:rPr>
      </w:pPr>
      <w:r>
        <w:rPr>
          <w:rFonts w:hint="eastAsia" w:eastAsia="楷体_GB2312"/>
          <w:b/>
        </w:rPr>
        <w:t>（三）公务用车购置及运行维护费较</w:t>
      </w:r>
      <w:r>
        <w:rPr>
          <w:rFonts w:hint="eastAsia" w:eastAsia="楷体_GB2312"/>
          <w:b/>
          <w:lang w:eastAsia="zh-CN"/>
        </w:rPr>
        <w:t>2024年</w:t>
      </w:r>
      <w:r>
        <w:rPr>
          <w:rFonts w:hint="eastAsia" w:eastAsia="楷体_GB2312"/>
          <w:b/>
        </w:rPr>
        <w:t>预算下降</w:t>
      </w:r>
      <w:r>
        <w:rPr>
          <w:rFonts w:hint="eastAsia" w:eastAsia="楷体_GB2312"/>
          <w:b/>
          <w:lang w:val="en-US" w:eastAsia="zh-CN"/>
        </w:rPr>
        <w:t>40</w:t>
      </w:r>
      <w:r>
        <w:rPr>
          <w:rFonts w:hint="eastAsia" w:eastAsia="楷体_GB2312"/>
          <w:b/>
        </w:rPr>
        <w:t>%。</w:t>
      </w:r>
      <w:r>
        <w:rPr>
          <w:rFonts w:hint="eastAsia"/>
        </w:rPr>
        <w:t>主要原因是</w:t>
      </w:r>
      <w:r>
        <w:rPr>
          <w:rFonts w:hint="eastAsia"/>
          <w:lang w:eastAsia="zh-CN"/>
        </w:rPr>
        <w:t>深入贯彻落实市委、市政府关于全面实施预算绩效管理和坚持过“紧日子”的决策部署，强化预算刚性约束</w:t>
      </w:r>
      <w:r>
        <w:rPr>
          <w:rFonts w:hint="eastAsia" w:eastAsia="楷体_GB2312"/>
          <w:b/>
        </w:rPr>
        <w:t>。</w:t>
      </w:r>
    </w:p>
    <w:p w14:paraId="3812AC01">
      <w:pPr>
        <w:spacing w:line="600" w:lineRule="exact"/>
        <w:ind w:firstLine="632" w:firstLineChars="200"/>
        <w:rPr>
          <w:rFonts w:hint="eastAsia"/>
        </w:rPr>
      </w:pPr>
      <w:r>
        <w:rPr>
          <w:rFonts w:hint="eastAsia"/>
        </w:rPr>
        <w:t>部门现有公务用车</w:t>
      </w:r>
      <w:r>
        <w:rPr>
          <w:rFonts w:hint="eastAsia"/>
          <w:lang w:val="en-US" w:eastAsia="zh-CN"/>
        </w:rPr>
        <w:t>0</w:t>
      </w:r>
      <w:r>
        <w:rPr>
          <w:rFonts w:hint="eastAsia"/>
        </w:rPr>
        <w:t>辆，</w:t>
      </w:r>
      <w:r>
        <w:rPr>
          <w:rFonts w:hint="eastAsia"/>
          <w:lang w:eastAsia="zh-CN"/>
        </w:rPr>
        <w:t>本年度计划购置</w:t>
      </w:r>
      <w:r>
        <w:rPr>
          <w:rFonts w:hint="default"/>
          <w:lang w:eastAsia="zh-CN"/>
        </w:rPr>
        <w:t>充电式国产新能源其他小型客车</w:t>
      </w:r>
      <w:r>
        <w:rPr>
          <w:rFonts w:hint="eastAsia"/>
          <w:lang w:val="en-US" w:eastAsia="zh-CN"/>
        </w:rPr>
        <w:t>1</w:t>
      </w:r>
      <w:r>
        <w:rPr>
          <w:rFonts w:hint="eastAsia"/>
        </w:rPr>
        <w:t>辆。</w:t>
      </w:r>
    </w:p>
    <w:p w14:paraId="2863A61A">
      <w:pPr>
        <w:spacing w:line="600" w:lineRule="exact"/>
        <w:ind w:firstLine="632" w:firstLineChars="200"/>
        <w:rPr>
          <w:rFonts w:hint="eastAsia"/>
        </w:rPr>
      </w:pPr>
    </w:p>
    <w:p w14:paraId="78EA6361">
      <w:pPr>
        <w:spacing w:line="600" w:lineRule="exact"/>
        <w:ind w:firstLine="632" w:firstLineChars="200"/>
        <w:rPr>
          <w:rFonts w:hint="eastAsia"/>
          <w:color w:val="auto"/>
        </w:rPr>
      </w:pPr>
      <w:r>
        <w:rPr>
          <w:rFonts w:hint="eastAsia"/>
          <w:lang w:eastAsia="zh-CN"/>
        </w:rPr>
        <w:t>2025年部门年初预算未</w:t>
      </w:r>
      <w:r>
        <w:rPr>
          <w:rFonts w:hint="eastAsia"/>
        </w:rPr>
        <w:t>安排公务用车购置费</w:t>
      </w:r>
      <w:r>
        <w:rPr>
          <w:rFonts w:hint="eastAsia"/>
          <w:lang w:eastAsia="zh-CN"/>
        </w:rPr>
        <w:t>，后续通过程序追加</w:t>
      </w:r>
      <w:r>
        <w:rPr>
          <w:rFonts w:hint="eastAsia"/>
        </w:rPr>
        <w:t>公务用车购</w:t>
      </w:r>
      <w:r>
        <w:rPr>
          <w:rFonts w:hint="eastAsia"/>
          <w:color w:val="auto"/>
        </w:rPr>
        <w:t>置费</w:t>
      </w:r>
      <w:r>
        <w:rPr>
          <w:rFonts w:hint="default"/>
          <w:color w:val="auto"/>
        </w:rPr>
        <w:t>18</w:t>
      </w:r>
      <w:r>
        <w:rPr>
          <w:rFonts w:hint="eastAsia"/>
          <w:color w:val="auto"/>
          <w:lang w:eastAsia="zh-CN"/>
        </w:rPr>
        <w:t>万元</w:t>
      </w:r>
      <w:r>
        <w:rPr>
          <w:rFonts w:hint="eastAsia"/>
          <w:color w:val="auto"/>
        </w:rPr>
        <w:t>。</w:t>
      </w:r>
    </w:p>
    <w:p w14:paraId="3DD37F73">
      <w:pPr>
        <w:pStyle w:val="7"/>
        <w:widowControl/>
        <w:spacing w:before="75" w:beforeAutospacing="0" w:after="75" w:afterAutospacing="0" w:line="600" w:lineRule="atLeast"/>
        <w:ind w:firstLine="632"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2025年安排公务用车运行维护费3万元，用于1辆公务用车过路（桥）、燃油、维修、保险等方面支出，主要保障单位监督检查、绩效管理、工作调研等工作开展。</w:t>
      </w:r>
    </w:p>
    <w:p w14:paraId="4FE19911">
      <w:pPr>
        <w:spacing w:line="600" w:lineRule="exact"/>
        <w:ind w:firstLine="632" w:firstLineChars="200"/>
        <w:rPr>
          <w:rFonts w:hint="eastAsia" w:ascii="黑体" w:hAnsi="黑体" w:eastAsia="黑体"/>
        </w:rPr>
      </w:pPr>
      <w:r>
        <w:rPr>
          <w:rFonts w:hint="eastAsia" w:ascii="黑体" w:hAnsi="黑体" w:eastAsia="黑体"/>
        </w:rPr>
        <w:t>八、“会议费”、“培训费”、“差旅费”财政拨款预算安排情况说明</w:t>
      </w:r>
    </w:p>
    <w:p w14:paraId="4FBA4374">
      <w:pPr>
        <w:spacing w:line="600" w:lineRule="exact"/>
        <w:ind w:firstLine="632" w:firstLineChars="200"/>
        <w:rPr>
          <w:rFonts w:hint="eastAsia"/>
        </w:rPr>
      </w:pPr>
      <w:r>
        <w:rPr>
          <w:rFonts w:hint="eastAsia"/>
          <w:lang w:eastAsia="zh-CN"/>
        </w:rPr>
        <w:t>遂宁市财政局2025年</w:t>
      </w:r>
      <w:r>
        <w:rPr>
          <w:rFonts w:hint="eastAsia"/>
        </w:rPr>
        <w:t>“会议费”、“培训费”、“差旅费”财政拨款预算数</w:t>
      </w:r>
      <w:r>
        <w:rPr>
          <w:rFonts w:hint="eastAsia"/>
          <w:lang w:val="en-US" w:eastAsia="zh-CN"/>
        </w:rPr>
        <w:t>161.40</w:t>
      </w:r>
      <w:r>
        <w:rPr>
          <w:rFonts w:hint="eastAsia"/>
        </w:rPr>
        <w:t>万元，其中：会议费</w:t>
      </w:r>
      <w:r>
        <w:rPr>
          <w:rFonts w:hint="eastAsia" w:ascii="楷体_GB2312" w:eastAsia="楷体_GB2312"/>
          <w:lang w:val="en-US" w:eastAsia="zh-CN"/>
        </w:rPr>
        <w:t>6.65</w:t>
      </w:r>
      <w:r>
        <w:rPr>
          <w:rFonts w:hint="eastAsia"/>
        </w:rPr>
        <w:t>万元，培训费</w:t>
      </w:r>
      <w:r>
        <w:rPr>
          <w:rFonts w:hint="eastAsia"/>
          <w:lang w:val="en-US" w:eastAsia="zh-CN"/>
        </w:rPr>
        <w:t>6.5</w:t>
      </w:r>
      <w:r>
        <w:rPr>
          <w:rFonts w:hint="eastAsia"/>
        </w:rPr>
        <w:t>万元，差旅费</w:t>
      </w:r>
      <w:r>
        <w:rPr>
          <w:rFonts w:hint="eastAsia"/>
          <w:lang w:val="en-US" w:eastAsia="zh-CN"/>
        </w:rPr>
        <w:t>148.25</w:t>
      </w:r>
      <w:r>
        <w:rPr>
          <w:rFonts w:hint="eastAsia"/>
        </w:rPr>
        <w:t>元。</w:t>
      </w:r>
    </w:p>
    <w:p w14:paraId="446D300E">
      <w:pPr>
        <w:spacing w:line="600" w:lineRule="exact"/>
        <w:ind w:firstLine="632" w:firstLineChars="200"/>
        <w:rPr>
          <w:rFonts w:hint="eastAsia"/>
        </w:rPr>
      </w:pPr>
      <w:r>
        <w:rPr>
          <w:rFonts w:hint="eastAsia" w:eastAsia="楷体_GB2312"/>
          <w:b/>
        </w:rPr>
        <w:t>（一）会议费较</w:t>
      </w:r>
      <w:r>
        <w:rPr>
          <w:rFonts w:hint="eastAsia" w:eastAsia="楷体_GB2312"/>
          <w:b/>
          <w:lang w:eastAsia="zh-CN"/>
        </w:rPr>
        <w:t>2024年</w:t>
      </w:r>
      <w:r>
        <w:rPr>
          <w:rFonts w:hint="eastAsia" w:eastAsia="楷体_GB2312"/>
          <w:b/>
        </w:rPr>
        <w:t>预算下降</w:t>
      </w:r>
      <w:r>
        <w:rPr>
          <w:rFonts w:hint="eastAsia" w:eastAsia="楷体_GB2312"/>
          <w:b/>
          <w:lang w:val="en-US" w:eastAsia="zh-CN"/>
        </w:rPr>
        <w:t>55.16</w:t>
      </w:r>
      <w:r>
        <w:rPr>
          <w:rFonts w:hint="eastAsia" w:eastAsia="楷体_GB2312"/>
          <w:b/>
        </w:rPr>
        <w:t>%。</w:t>
      </w:r>
      <w:r>
        <w:rPr>
          <w:rFonts w:hint="eastAsia"/>
        </w:rPr>
        <w:t>主要原因是</w:t>
      </w:r>
      <w:r>
        <w:rPr>
          <w:rFonts w:hint="eastAsia"/>
          <w:lang w:eastAsia="zh-CN"/>
        </w:rPr>
        <w:t>深入贯彻落实市委、市政府关于全面实施预算绩效管理和坚持过“紧日子”的决策部署</w:t>
      </w:r>
      <w:r>
        <w:rPr>
          <w:rFonts w:hint="eastAsia"/>
        </w:rPr>
        <w:t>。</w:t>
      </w:r>
    </w:p>
    <w:p w14:paraId="3B6CD1B4">
      <w:pPr>
        <w:spacing w:line="600" w:lineRule="exact"/>
        <w:ind w:firstLine="632" w:firstLineChars="200"/>
        <w:rPr>
          <w:rFonts w:hint="eastAsia"/>
        </w:rPr>
      </w:pPr>
      <w:r>
        <w:rPr>
          <w:rFonts w:hint="eastAsia" w:eastAsia="楷体_GB2312"/>
          <w:b/>
        </w:rPr>
        <w:t>（二）培训费较</w:t>
      </w:r>
      <w:r>
        <w:rPr>
          <w:rFonts w:hint="eastAsia" w:eastAsia="楷体_GB2312"/>
          <w:b/>
          <w:lang w:eastAsia="zh-CN"/>
        </w:rPr>
        <w:t>2024年</w:t>
      </w:r>
      <w:r>
        <w:rPr>
          <w:rFonts w:hint="eastAsia" w:eastAsia="楷体_GB2312"/>
          <w:b/>
        </w:rPr>
        <w:t>预算增</w:t>
      </w:r>
      <w:r>
        <w:rPr>
          <w:rFonts w:hint="eastAsia" w:eastAsia="楷体_GB2312"/>
          <w:b/>
          <w:lang w:eastAsia="zh-CN"/>
        </w:rPr>
        <w:t>加</w:t>
      </w:r>
      <w:r>
        <w:rPr>
          <w:rFonts w:hint="eastAsia" w:eastAsia="楷体_GB2312"/>
          <w:b/>
          <w:lang w:val="en-US" w:eastAsia="zh-CN"/>
        </w:rPr>
        <w:t>4.80万元</w:t>
      </w:r>
      <w:r>
        <w:rPr>
          <w:rFonts w:hint="eastAsia" w:eastAsia="楷体_GB2312"/>
          <w:b/>
        </w:rPr>
        <w:t>。</w:t>
      </w:r>
      <w:r>
        <w:rPr>
          <w:rFonts w:hint="eastAsia"/>
        </w:rPr>
        <w:t>主要原因是</w:t>
      </w:r>
      <w:r>
        <w:rPr>
          <w:rFonts w:hint="eastAsia"/>
          <w:lang w:eastAsia="zh-CN"/>
        </w:rPr>
        <w:t>预算绩效管理工作培训需求增加</w:t>
      </w:r>
      <w:r>
        <w:rPr>
          <w:rFonts w:hint="eastAsia"/>
        </w:rPr>
        <w:t>。</w:t>
      </w:r>
    </w:p>
    <w:p w14:paraId="3E2B16F4">
      <w:pPr>
        <w:spacing w:line="600" w:lineRule="exact"/>
        <w:ind w:firstLine="632" w:firstLineChars="200"/>
        <w:rPr>
          <w:rFonts w:hint="eastAsia"/>
        </w:rPr>
      </w:pPr>
      <w:r>
        <w:rPr>
          <w:rFonts w:hint="eastAsia" w:eastAsia="楷体_GB2312"/>
          <w:b/>
        </w:rPr>
        <w:t>（三）差旅费较</w:t>
      </w:r>
      <w:r>
        <w:rPr>
          <w:rFonts w:hint="eastAsia" w:eastAsia="楷体_GB2312"/>
          <w:b/>
          <w:lang w:eastAsia="zh-CN"/>
        </w:rPr>
        <w:t>2024年</w:t>
      </w:r>
      <w:r>
        <w:rPr>
          <w:rFonts w:hint="eastAsia" w:eastAsia="楷体_GB2312"/>
          <w:b/>
        </w:rPr>
        <w:t>预算增</w:t>
      </w:r>
      <w:r>
        <w:rPr>
          <w:rFonts w:hint="eastAsia" w:eastAsia="楷体_GB2312"/>
          <w:b/>
          <w:lang w:eastAsia="zh-CN"/>
        </w:rPr>
        <w:t>加</w:t>
      </w:r>
      <w:r>
        <w:rPr>
          <w:rFonts w:hint="eastAsia" w:eastAsia="楷体_GB2312"/>
          <w:b/>
          <w:lang w:val="en-US" w:eastAsia="zh-CN"/>
        </w:rPr>
        <w:t>61.63万元</w:t>
      </w:r>
      <w:r>
        <w:rPr>
          <w:rFonts w:hint="eastAsia" w:eastAsia="楷体_GB2312"/>
          <w:b/>
        </w:rPr>
        <w:t>。</w:t>
      </w:r>
      <w:r>
        <w:rPr>
          <w:rFonts w:hint="eastAsia"/>
        </w:rPr>
        <w:t>主要原因是</w:t>
      </w:r>
      <w:r>
        <w:rPr>
          <w:rFonts w:hint="eastAsia"/>
          <w:lang w:eastAsia="zh-CN"/>
        </w:rPr>
        <w:t>本年度新增遂宁市金融服务中心、地方金融监管科、金融风险防控科，外出开展业务事项增加以及争取工作资金差旅费变动</w:t>
      </w:r>
      <w:r>
        <w:rPr>
          <w:rFonts w:hint="eastAsia"/>
        </w:rPr>
        <w:t>。</w:t>
      </w:r>
    </w:p>
    <w:p w14:paraId="5EF211A8">
      <w:pPr>
        <w:spacing w:line="600" w:lineRule="exact"/>
        <w:ind w:firstLine="632" w:firstLineChars="200"/>
        <w:rPr>
          <w:rFonts w:hint="eastAsia" w:ascii="黑体" w:hAnsi="黑体" w:eastAsia="黑体"/>
        </w:rPr>
      </w:pPr>
      <w:r>
        <w:rPr>
          <w:rFonts w:hint="eastAsia" w:ascii="黑体" w:hAnsi="黑体" w:eastAsia="黑体"/>
        </w:rPr>
        <w:t>九、政府性基金预算支出情况说明</w:t>
      </w:r>
    </w:p>
    <w:p w14:paraId="61554029">
      <w:pPr>
        <w:spacing w:line="600" w:lineRule="exact"/>
        <w:ind w:firstLine="632" w:firstLineChars="200"/>
        <w:rPr>
          <w:rFonts w:hint="eastAsia"/>
        </w:rPr>
      </w:pPr>
      <w:r>
        <w:rPr>
          <w:rFonts w:hint="eastAsia"/>
          <w:lang w:eastAsia="zh-CN"/>
        </w:rPr>
        <w:t>遂宁市财政局2025年</w:t>
      </w:r>
      <w:r>
        <w:rPr>
          <w:rFonts w:hint="eastAsia"/>
        </w:rPr>
        <w:t>没有使用政府性基金预算拨款安排的支出。</w:t>
      </w:r>
    </w:p>
    <w:p w14:paraId="49DC3AC9">
      <w:pPr>
        <w:spacing w:line="600" w:lineRule="exact"/>
        <w:ind w:firstLine="632" w:firstLineChars="200"/>
        <w:rPr>
          <w:rFonts w:ascii="黑体" w:hAnsi="黑体" w:eastAsia="黑体"/>
        </w:rPr>
      </w:pPr>
      <w:r>
        <w:rPr>
          <w:rFonts w:hint="eastAsia" w:ascii="黑体" w:hAnsi="黑体" w:eastAsia="黑体"/>
        </w:rPr>
        <w:t>十、国有资本经营预算支出情况说明</w:t>
      </w:r>
    </w:p>
    <w:p w14:paraId="34EF7070">
      <w:pPr>
        <w:spacing w:line="600" w:lineRule="exact"/>
        <w:ind w:firstLine="632" w:firstLineChars="200"/>
        <w:rPr>
          <w:rFonts w:hint="eastAsia"/>
        </w:rPr>
      </w:pPr>
      <w:r>
        <w:rPr>
          <w:rFonts w:hint="eastAsia"/>
          <w:lang w:eastAsia="zh-CN"/>
        </w:rPr>
        <w:t>遂宁市财政局2025年</w:t>
      </w:r>
      <w:r>
        <w:rPr>
          <w:rFonts w:hint="eastAsia"/>
        </w:rPr>
        <w:t>没有使用国有资本经营预算拨款安排的支出。</w:t>
      </w:r>
    </w:p>
    <w:p w14:paraId="2F28AD13">
      <w:pPr>
        <w:spacing w:line="600" w:lineRule="exact"/>
        <w:ind w:firstLine="632" w:firstLineChars="200"/>
        <w:rPr>
          <w:rFonts w:hint="eastAsia" w:ascii="黑体" w:hAnsi="黑体" w:eastAsia="黑体"/>
        </w:rPr>
      </w:pPr>
      <w:r>
        <w:rPr>
          <w:rFonts w:hint="eastAsia" w:ascii="黑体" w:hAnsi="黑体" w:eastAsia="黑体"/>
        </w:rPr>
        <w:t>十一、其他重要事项的情况说明</w:t>
      </w:r>
    </w:p>
    <w:p w14:paraId="3F0E0259">
      <w:pPr>
        <w:spacing w:line="600" w:lineRule="exact"/>
        <w:ind w:firstLine="632" w:firstLineChars="200"/>
        <w:rPr>
          <w:rFonts w:hint="eastAsia" w:eastAsia="楷体_GB2312"/>
          <w:b/>
        </w:rPr>
      </w:pPr>
      <w:r>
        <w:rPr>
          <w:rFonts w:hint="eastAsia" w:eastAsia="楷体_GB2312"/>
          <w:b/>
        </w:rPr>
        <w:t>（一）机关运行经费</w:t>
      </w:r>
    </w:p>
    <w:p w14:paraId="39546485">
      <w:pPr>
        <w:spacing w:line="600" w:lineRule="exact"/>
        <w:ind w:firstLine="632" w:firstLineChars="200"/>
        <w:rPr>
          <w:rFonts w:hint="eastAsia"/>
        </w:rPr>
      </w:pPr>
      <w:r>
        <w:rPr>
          <w:rFonts w:hint="eastAsia"/>
          <w:lang w:eastAsia="zh-CN"/>
        </w:rPr>
        <w:t>2025年</w:t>
      </w:r>
      <w:r>
        <w:rPr>
          <w:rFonts w:hint="eastAsia"/>
        </w:rPr>
        <w:t>，</w:t>
      </w:r>
      <w:r>
        <w:rPr>
          <w:rFonts w:hint="eastAsia"/>
          <w:lang w:eastAsia="zh-CN"/>
        </w:rPr>
        <w:t>遂宁市财政局</w:t>
      </w:r>
      <w:r>
        <w:t>1家行政单位、遂宁市</w:t>
      </w:r>
      <w:r>
        <w:rPr>
          <w:rFonts w:hint="eastAsia"/>
          <w:lang w:eastAsia="zh-CN"/>
        </w:rPr>
        <w:t>财政国库支付中心</w:t>
      </w:r>
      <w:r>
        <w:t>、遂宁市票据监管中心2家参公管理事业单位的机关运行经费财政拨款预算为</w:t>
      </w:r>
      <w:r>
        <w:rPr>
          <w:rFonts w:hint="eastAsia"/>
          <w:lang w:val="en-US" w:eastAsia="zh-CN"/>
        </w:rPr>
        <w:t>523.65</w:t>
      </w:r>
      <w:r>
        <w:t>万元，较202</w:t>
      </w:r>
      <w:r>
        <w:rPr>
          <w:rFonts w:hint="eastAsia"/>
          <w:lang w:val="en-US" w:eastAsia="zh-CN"/>
        </w:rPr>
        <w:t>4</w:t>
      </w:r>
      <w:r>
        <w:t>年预算</w:t>
      </w:r>
      <w:r>
        <w:rPr>
          <w:rFonts w:hint="eastAsia"/>
          <w:lang w:eastAsia="zh-CN"/>
        </w:rPr>
        <w:t>增加</w:t>
      </w:r>
      <w:r>
        <w:rPr>
          <w:rFonts w:hint="eastAsia"/>
          <w:lang w:val="en-US" w:eastAsia="zh-CN"/>
        </w:rPr>
        <w:t>191.38</w:t>
      </w:r>
      <w:r>
        <w:t>万元，</w:t>
      </w:r>
      <w:r>
        <w:rPr>
          <w:rFonts w:hint="eastAsia"/>
          <w:lang w:eastAsia="zh-CN"/>
        </w:rPr>
        <w:t>增长</w:t>
      </w:r>
      <w:r>
        <w:rPr>
          <w:rFonts w:hint="eastAsia"/>
          <w:lang w:val="en-US" w:eastAsia="zh-CN"/>
        </w:rPr>
        <w:t>57.61</w:t>
      </w:r>
      <w:r>
        <w:t>%。</w:t>
      </w:r>
      <w:r>
        <w:rPr>
          <w:rFonts w:hint="eastAsia"/>
          <w:lang w:eastAsia="zh-CN"/>
        </w:rPr>
        <w:t>主要原因是以前年度工会经费、福利费、其他交通费用纳入人员经费统计，未计入机关运行经费以及本年度增加上派工作经费及政策资金争取费用。</w:t>
      </w:r>
    </w:p>
    <w:p w14:paraId="4A7404A2">
      <w:pPr>
        <w:spacing w:line="600" w:lineRule="exact"/>
        <w:ind w:firstLine="632" w:firstLineChars="200"/>
        <w:rPr>
          <w:rFonts w:hint="eastAsia" w:eastAsia="楷体_GB2312"/>
          <w:b/>
        </w:rPr>
      </w:pPr>
      <w:r>
        <w:rPr>
          <w:rFonts w:hint="eastAsia" w:eastAsia="楷体_GB2312"/>
          <w:b/>
        </w:rPr>
        <w:t>（二）政府采购情况</w:t>
      </w:r>
    </w:p>
    <w:p w14:paraId="2C6841B6">
      <w:pPr>
        <w:spacing w:line="600" w:lineRule="exact"/>
        <w:ind w:firstLine="632" w:firstLineChars="200"/>
        <w:rPr>
          <w:rFonts w:hint="eastAsia"/>
        </w:rPr>
      </w:pPr>
      <w:r>
        <w:rPr>
          <w:rFonts w:hint="eastAsia"/>
          <w:lang w:eastAsia="zh-CN"/>
        </w:rPr>
        <w:t>2025年</w:t>
      </w:r>
      <w:r>
        <w:rPr>
          <w:rFonts w:hint="eastAsia"/>
        </w:rPr>
        <w:t>，</w:t>
      </w:r>
      <w:r>
        <w:rPr>
          <w:rFonts w:hint="eastAsia"/>
          <w:lang w:eastAsia="zh-CN"/>
        </w:rPr>
        <w:t>遂宁市财政局</w:t>
      </w:r>
      <w:r>
        <w:rPr>
          <w:rFonts w:hint="eastAsia"/>
        </w:rPr>
        <w:t>安排政府采购预算</w:t>
      </w:r>
      <w:r>
        <w:rPr>
          <w:rFonts w:hint="eastAsia"/>
          <w:lang w:val="en-US" w:eastAsia="zh-CN"/>
        </w:rPr>
        <w:t>53.33</w:t>
      </w:r>
      <w:r>
        <w:rPr>
          <w:rFonts w:hint="eastAsia"/>
        </w:rPr>
        <w:t>万元，主要用于采购</w:t>
      </w:r>
      <w:r>
        <w:rPr>
          <w:rFonts w:hint="eastAsia"/>
          <w:lang w:eastAsia="zh-CN"/>
        </w:rPr>
        <w:t>会计考试考务辅助服务、空调机、多功能一体机、投影仪、计算机</w:t>
      </w:r>
      <w:r>
        <w:rPr>
          <w:rFonts w:hint="eastAsia"/>
        </w:rPr>
        <w:t>等。</w:t>
      </w:r>
    </w:p>
    <w:p w14:paraId="27DC219F">
      <w:pPr>
        <w:spacing w:line="600" w:lineRule="exact"/>
        <w:ind w:firstLine="632" w:firstLineChars="200"/>
        <w:rPr>
          <w:rFonts w:hint="eastAsia" w:eastAsia="楷体_GB2312"/>
          <w:b/>
        </w:rPr>
      </w:pPr>
      <w:r>
        <w:rPr>
          <w:rFonts w:hint="eastAsia" w:eastAsia="楷体_GB2312"/>
          <w:b/>
        </w:rPr>
        <w:t>（三）国有资产占有使用情况</w:t>
      </w:r>
    </w:p>
    <w:p w14:paraId="7F9914B8">
      <w:pPr>
        <w:spacing w:line="600" w:lineRule="exact"/>
        <w:ind w:firstLine="632" w:firstLineChars="200"/>
        <w:rPr>
          <w:rFonts w:hint="eastAsia"/>
        </w:rPr>
      </w:pPr>
      <w:r>
        <w:rPr>
          <w:rFonts w:hint="eastAsia"/>
        </w:rPr>
        <w:t>截至</w:t>
      </w:r>
      <w:r>
        <w:rPr>
          <w:rFonts w:hint="eastAsia"/>
          <w:lang w:eastAsia="zh-CN"/>
        </w:rPr>
        <w:t>2024年</w:t>
      </w:r>
      <w:r>
        <w:rPr>
          <w:rFonts w:hint="eastAsia"/>
        </w:rPr>
        <w:t>底，</w:t>
      </w:r>
      <w:r>
        <w:rPr>
          <w:rFonts w:hint="eastAsia"/>
          <w:lang w:eastAsia="zh-CN"/>
        </w:rPr>
        <w:t>遂宁市财政局</w:t>
      </w:r>
      <w:r>
        <w:rPr>
          <w:rFonts w:hint="eastAsia"/>
        </w:rPr>
        <w:t>所属各预算单位共有车辆</w:t>
      </w:r>
      <w:r>
        <w:rPr>
          <w:rFonts w:hint="eastAsia" w:ascii="楷体_GB2312" w:eastAsia="楷体_GB2312"/>
          <w:lang w:val="en-US" w:eastAsia="zh-CN"/>
        </w:rPr>
        <w:t>0</w:t>
      </w:r>
      <w:r>
        <w:rPr>
          <w:rFonts w:hint="eastAsia"/>
        </w:rPr>
        <w:t>辆</w:t>
      </w:r>
      <w:r>
        <w:rPr>
          <w:rFonts w:hint="eastAsia"/>
          <w:lang w:eastAsia="zh-CN"/>
        </w:rPr>
        <w:t>，</w:t>
      </w:r>
      <w:r>
        <w:rPr>
          <w:rFonts w:hint="eastAsia"/>
        </w:rPr>
        <w:t>其中，地厅级领导干部用车</w:t>
      </w:r>
      <w:r>
        <w:rPr>
          <w:rFonts w:hint="eastAsia"/>
          <w:lang w:val="en-US" w:eastAsia="zh-CN"/>
        </w:rPr>
        <w:t>0</w:t>
      </w:r>
      <w:r>
        <w:rPr>
          <w:rFonts w:hint="eastAsia"/>
        </w:rPr>
        <w:t>辆、定向保障用车</w:t>
      </w:r>
      <w:r>
        <w:rPr>
          <w:rFonts w:hint="eastAsia"/>
          <w:lang w:val="en-US" w:eastAsia="zh-CN"/>
        </w:rPr>
        <w:t>0</w:t>
      </w:r>
      <w:r>
        <w:rPr>
          <w:rFonts w:hint="eastAsia"/>
        </w:rPr>
        <w:t>辆、执法执勤用车</w:t>
      </w:r>
      <w:r>
        <w:rPr>
          <w:rFonts w:hint="eastAsia"/>
          <w:lang w:val="en-US" w:eastAsia="zh-CN"/>
        </w:rPr>
        <w:t>0</w:t>
      </w:r>
      <w:r>
        <w:rPr>
          <w:rFonts w:hint="eastAsia"/>
        </w:rPr>
        <w:t>辆。单位价值</w:t>
      </w:r>
      <w:r>
        <w:t>200</w:t>
      </w:r>
      <w:r>
        <w:rPr>
          <w:rFonts w:hint="eastAsia"/>
        </w:rPr>
        <w:t>万元以上大型设备</w:t>
      </w:r>
      <w:r>
        <w:rPr>
          <w:rFonts w:hint="eastAsia" w:ascii="楷体_GB2312" w:eastAsia="楷体_GB2312"/>
          <w:lang w:val="en-US" w:eastAsia="zh-CN"/>
        </w:rPr>
        <w:t>0</w:t>
      </w:r>
      <w:r>
        <w:rPr>
          <w:rFonts w:hint="eastAsia"/>
        </w:rPr>
        <w:t>台（套）。</w:t>
      </w:r>
    </w:p>
    <w:p w14:paraId="3611E3CD">
      <w:pPr>
        <w:spacing w:line="600" w:lineRule="exact"/>
        <w:ind w:firstLine="632" w:firstLineChars="200"/>
        <w:rPr>
          <w:rFonts w:hint="eastAsia"/>
        </w:rPr>
      </w:pPr>
      <w:r>
        <w:rPr>
          <w:rFonts w:hint="eastAsia"/>
          <w:lang w:eastAsia="zh-CN"/>
        </w:rPr>
        <w:t>2025年单位年初预算未安排购置车辆，后续通过程序将</w:t>
      </w:r>
      <w:r>
        <w:rPr>
          <w:rFonts w:hint="eastAsia"/>
        </w:rPr>
        <w:t>安排车辆购</w:t>
      </w:r>
      <w:r>
        <w:rPr>
          <w:rFonts w:hint="eastAsia"/>
          <w:color w:val="auto"/>
        </w:rPr>
        <w:t>置经费</w:t>
      </w:r>
      <w:r>
        <w:rPr>
          <w:rFonts w:hint="default"/>
          <w:color w:val="auto"/>
        </w:rPr>
        <w:t>18</w:t>
      </w:r>
      <w:r>
        <w:rPr>
          <w:rFonts w:hint="eastAsia"/>
          <w:color w:val="auto"/>
        </w:rPr>
        <w:t>万元。其中，财政拨款预算安排</w:t>
      </w:r>
      <w:r>
        <w:rPr>
          <w:rFonts w:hint="default"/>
          <w:color w:val="auto"/>
        </w:rPr>
        <w:t>18</w:t>
      </w:r>
      <w:r>
        <w:rPr>
          <w:rFonts w:hint="eastAsia"/>
          <w:color w:val="auto"/>
        </w:rPr>
        <w:t>万元，非</w:t>
      </w:r>
      <w:r>
        <w:rPr>
          <w:rFonts w:hint="eastAsia"/>
        </w:rPr>
        <w:t>财政拨款安排</w:t>
      </w:r>
      <w:r>
        <w:rPr>
          <w:rFonts w:hint="eastAsia"/>
          <w:lang w:val="en-US" w:eastAsia="zh-CN"/>
        </w:rPr>
        <w:t>0</w:t>
      </w:r>
      <w:r>
        <w:rPr>
          <w:rFonts w:hint="eastAsia"/>
        </w:rPr>
        <w:t>万元。购置地厅级领导干部用车</w:t>
      </w:r>
      <w:r>
        <w:rPr>
          <w:rFonts w:hint="eastAsia"/>
          <w:lang w:val="en-US" w:eastAsia="zh-CN"/>
        </w:rPr>
        <w:t>0</w:t>
      </w:r>
      <w:r>
        <w:rPr>
          <w:rFonts w:hint="eastAsia"/>
        </w:rPr>
        <w:t>辆、定向保障用车</w:t>
      </w:r>
      <w:r>
        <w:rPr>
          <w:rFonts w:hint="eastAsia"/>
          <w:lang w:val="en-US" w:eastAsia="zh-CN"/>
        </w:rPr>
        <w:t>1</w:t>
      </w:r>
      <w:r>
        <w:rPr>
          <w:rFonts w:hint="eastAsia"/>
        </w:rPr>
        <w:t>辆、执法执勤用车</w:t>
      </w:r>
      <w:r>
        <w:rPr>
          <w:rFonts w:hint="eastAsia"/>
          <w:lang w:val="en-US" w:eastAsia="zh-CN"/>
        </w:rPr>
        <w:t>0</w:t>
      </w:r>
      <w:r>
        <w:rPr>
          <w:rFonts w:hint="eastAsia"/>
        </w:rPr>
        <w:t>辆。安排大型设备购置经费</w:t>
      </w:r>
      <w:r>
        <w:rPr>
          <w:rFonts w:hint="eastAsia"/>
          <w:lang w:val="en-US" w:eastAsia="zh-CN"/>
        </w:rPr>
        <w:t>0</w:t>
      </w:r>
      <w:r>
        <w:rPr>
          <w:rFonts w:hint="eastAsia"/>
        </w:rPr>
        <w:t>万元，购置大型设备</w:t>
      </w:r>
      <w:r>
        <w:rPr>
          <w:rFonts w:hint="eastAsia"/>
          <w:lang w:val="en-US" w:eastAsia="zh-CN"/>
        </w:rPr>
        <w:t>0</w:t>
      </w:r>
      <w:r>
        <w:rPr>
          <w:rFonts w:hint="eastAsia"/>
        </w:rPr>
        <w:t>台（套）。</w:t>
      </w:r>
    </w:p>
    <w:p w14:paraId="514C5C3F">
      <w:pPr>
        <w:spacing w:line="560" w:lineRule="exact"/>
        <w:ind w:firstLine="632" w:firstLineChars="200"/>
        <w:rPr>
          <w:rFonts w:hint="eastAsia" w:eastAsia="楷体_GB2312"/>
          <w:b/>
          <w:lang w:eastAsia="zh-CN"/>
        </w:rPr>
      </w:pPr>
      <w:r>
        <w:rPr>
          <w:rFonts w:hint="eastAsia" w:eastAsia="楷体_GB2312"/>
          <w:b/>
        </w:rPr>
        <w:t>（四）</w:t>
      </w:r>
      <w:r>
        <w:rPr>
          <w:rFonts w:hint="eastAsia" w:eastAsia="楷体_GB2312"/>
          <w:b/>
          <w:lang w:eastAsia="zh-CN"/>
        </w:rPr>
        <w:t>预算绩效</w:t>
      </w:r>
      <w:r>
        <w:rPr>
          <w:rFonts w:hint="eastAsia" w:eastAsia="楷体_GB2312"/>
          <w:b/>
        </w:rPr>
        <w:t>情况</w:t>
      </w:r>
    </w:p>
    <w:p w14:paraId="3BE0FFEF">
      <w:pPr>
        <w:spacing w:line="560" w:lineRule="exact"/>
        <w:ind w:firstLine="632" w:firstLineChars="200"/>
      </w:pPr>
      <w:r>
        <w:rPr>
          <w:rFonts w:hint="eastAsia"/>
          <w:lang w:val="en-US" w:eastAsia="zh-CN"/>
        </w:rPr>
        <w:t>2025年</w:t>
      </w:r>
      <w:r>
        <w:rPr>
          <w:rFonts w:hint="eastAsia"/>
          <w:lang w:eastAsia="zh-CN"/>
        </w:rPr>
        <w:t>遂宁市财政局开展绩效目标管理的项目</w:t>
      </w:r>
      <w:r>
        <w:rPr>
          <w:rFonts w:hint="eastAsia"/>
          <w:lang w:val="en-US" w:eastAsia="zh-CN"/>
        </w:rPr>
        <w:t>167个，涉及预算2746.13万元。其中：人员类项目68个，涉及预算1506.15万元；运转类项目76个，涉及预算588.29万元；特定目标类项目23个，涉及预算651.70万元</w:t>
      </w:r>
      <w:r>
        <w:rPr>
          <w:rFonts w:hint="eastAsia"/>
        </w:rPr>
        <w:t>。</w:t>
      </w:r>
    </w:p>
    <w:p w14:paraId="0F1B1903">
      <w:pPr>
        <w:spacing w:line="560" w:lineRule="exact"/>
        <w:ind w:firstLine="632" w:firstLineChars="200"/>
        <w:rPr>
          <w:rFonts w:ascii="黑体" w:hAnsi="黑体" w:eastAsia="黑体"/>
        </w:rPr>
      </w:pPr>
      <w:r>
        <w:rPr>
          <w:rFonts w:hint="eastAsia" w:ascii="黑体" w:hAnsi="黑体" w:eastAsia="黑体"/>
        </w:rPr>
        <w:t>十二</w:t>
      </w:r>
      <w:r>
        <w:rPr>
          <w:rFonts w:ascii="黑体" w:hAnsi="黑体" w:eastAsia="黑体"/>
        </w:rPr>
        <w:t>、</w:t>
      </w:r>
      <w:r>
        <w:rPr>
          <w:rFonts w:hint="eastAsia" w:ascii="黑体" w:hAnsi="黑体" w:eastAsia="黑体"/>
        </w:rPr>
        <w:t>名词解释</w:t>
      </w:r>
    </w:p>
    <w:p w14:paraId="4FB4A532">
      <w:pPr>
        <w:spacing w:line="560" w:lineRule="exact"/>
        <w:ind w:firstLine="632" w:firstLineChars="200"/>
      </w:pPr>
      <w:r>
        <w:t>1.</w:t>
      </w:r>
      <w:r>
        <w:rPr>
          <w:rFonts w:hint="eastAsia"/>
        </w:rPr>
        <w:t xml:space="preserve"> </w:t>
      </w:r>
      <w:r>
        <w:t>一般公共预算拨款收入：指市</w:t>
      </w:r>
      <w:r>
        <w:rPr>
          <w:rFonts w:hint="eastAsia"/>
        </w:rPr>
        <w:t>本</w:t>
      </w:r>
      <w:r>
        <w:t>级财政当年拨付的资金。</w:t>
      </w:r>
    </w:p>
    <w:p w14:paraId="2639D547">
      <w:pPr>
        <w:spacing w:line="560" w:lineRule="exact"/>
        <w:ind w:firstLine="632" w:firstLineChars="200"/>
      </w:pPr>
      <w:r>
        <w:rPr>
          <w:rFonts w:hint="eastAsia"/>
          <w:lang w:val="en-US" w:eastAsia="zh-CN"/>
        </w:rPr>
        <w:t>2</w:t>
      </w:r>
      <w:r>
        <w:t>.</w:t>
      </w:r>
      <w:r>
        <w:rPr>
          <w:rFonts w:hint="eastAsia"/>
        </w:rPr>
        <w:t xml:space="preserve"> </w:t>
      </w:r>
      <w:r>
        <w:t>基本支出：指为保证机构正常运转，完成日常工作任务而发生的人员支出和公用支出。</w:t>
      </w:r>
    </w:p>
    <w:p w14:paraId="29A3F574">
      <w:pPr>
        <w:spacing w:line="560" w:lineRule="exact"/>
        <w:ind w:firstLine="632" w:firstLineChars="200"/>
      </w:pPr>
      <w:r>
        <w:rPr>
          <w:rFonts w:hint="eastAsia"/>
          <w:lang w:val="en-US" w:eastAsia="zh-CN"/>
        </w:rPr>
        <w:t>3</w:t>
      </w:r>
      <w:r>
        <w:t>.</w:t>
      </w:r>
      <w:r>
        <w:rPr>
          <w:rFonts w:hint="eastAsia"/>
        </w:rPr>
        <w:t xml:space="preserve"> </w:t>
      </w:r>
      <w:r>
        <w:t>项目支出：指在基本支出之外为完成特定行政任务和事业发展目标所发生的支出。</w:t>
      </w:r>
    </w:p>
    <w:p w14:paraId="315917BF">
      <w:pPr>
        <w:spacing w:line="560" w:lineRule="exact"/>
        <w:ind w:firstLine="632" w:firstLineChars="200"/>
      </w:pPr>
      <w:r>
        <w:rPr>
          <w:rFonts w:hint="eastAsia"/>
          <w:lang w:val="en-US" w:eastAsia="zh-CN"/>
        </w:rPr>
        <w:t>4</w:t>
      </w:r>
      <w:r>
        <w:t>.</w:t>
      </w:r>
      <w:r>
        <w:rPr>
          <w:rFonts w:hint="eastAsia"/>
        </w:rPr>
        <w:t xml:space="preserve"> </w:t>
      </w:r>
      <w:r>
        <w:t>“三公”经费：纳入部门预算管理的“三公”经费，是指部门用财政拨款安排的因公出国（境）费、公务用车购置及运行费和公务接待费。其中，因公出国（境）费反映</w:t>
      </w:r>
      <w:r>
        <w:rPr>
          <w:rFonts w:hint="eastAsia"/>
        </w:rPr>
        <w:t>部门</w:t>
      </w:r>
      <w:r>
        <w:t>公务出国（境）的国际旅费、国外城市间交通费、住宿费、伙食费、培训费、公杂费等支出；公务用车购置及运行费反映</w:t>
      </w:r>
      <w:r>
        <w:rPr>
          <w:rFonts w:hint="eastAsia"/>
        </w:rPr>
        <w:t>部门</w:t>
      </w:r>
      <w:r>
        <w:t>公务用车车辆购置支出（含车辆购置税）及租用费、燃料费、维修费、过路过桥费、保险费等支出；公务接待费反映</w:t>
      </w:r>
      <w:r>
        <w:rPr>
          <w:rFonts w:hint="eastAsia"/>
        </w:rPr>
        <w:t>部门</w:t>
      </w:r>
      <w:r>
        <w:t>按规定开支的各类公务接待（含外宾接待）支出。</w:t>
      </w:r>
    </w:p>
    <w:p w14:paraId="6AAF6515">
      <w:pPr>
        <w:spacing w:line="600" w:lineRule="exact"/>
        <w:ind w:firstLine="632" w:firstLineChars="200"/>
        <w:rPr>
          <w:rStyle w:val="11"/>
          <w:sz w:val="32"/>
          <w:szCs w:val="22"/>
        </w:rPr>
      </w:pPr>
      <w:r>
        <w:rPr>
          <w:szCs w:val="32"/>
        </w:rPr>
        <w:t>5</w:t>
      </w:r>
      <w:r>
        <w:rPr>
          <w:rStyle w:val="11"/>
          <w:sz w:val="32"/>
          <w:szCs w:val="32"/>
        </w:rPr>
        <w:t>.</w:t>
      </w:r>
      <w:r>
        <w:rPr>
          <w:rStyle w:val="11"/>
          <w:sz w:val="32"/>
          <w:szCs w:val="22"/>
        </w:rPr>
        <w:t xml:space="preserve"> 一般公共服务支出（类）财政事务（款）行政运行（项）反映财政事务方面，行政单位（包括实行公务员管理的事业单位）的基本支出。</w:t>
      </w:r>
    </w:p>
    <w:p w14:paraId="72F8FE58">
      <w:pPr>
        <w:spacing w:line="600" w:lineRule="exact"/>
        <w:ind w:firstLine="632" w:firstLineChars="200"/>
        <w:rPr>
          <w:rStyle w:val="11"/>
          <w:sz w:val="32"/>
          <w:szCs w:val="22"/>
        </w:rPr>
      </w:pPr>
      <w:r>
        <w:rPr>
          <w:rStyle w:val="11"/>
          <w:sz w:val="32"/>
          <w:szCs w:val="22"/>
        </w:rPr>
        <w:t>6. 一般公共服务支出（类）财政事务（款）一般行政管理事务（项）反映财政事务方面，行政单位（包括实行公务员管理的事业单位）未单独设置项级科目的其他项目支出。</w:t>
      </w:r>
    </w:p>
    <w:p w14:paraId="50024150">
      <w:pPr>
        <w:spacing w:line="600" w:lineRule="exact"/>
        <w:ind w:firstLine="632" w:firstLineChars="200"/>
        <w:rPr>
          <w:rStyle w:val="11"/>
          <w:sz w:val="32"/>
          <w:szCs w:val="22"/>
        </w:rPr>
      </w:pPr>
      <w:r>
        <w:rPr>
          <w:rStyle w:val="11"/>
          <w:sz w:val="32"/>
          <w:szCs w:val="22"/>
        </w:rPr>
        <w:t>7. 一般公共服务支出（类）财政事务（款）财政监察（项）反映财政监察派出机构的专项业务支出。</w:t>
      </w:r>
    </w:p>
    <w:p w14:paraId="4FE98428">
      <w:pPr>
        <w:spacing w:line="600" w:lineRule="exact"/>
        <w:ind w:firstLine="632" w:firstLineChars="200"/>
        <w:rPr>
          <w:rStyle w:val="11"/>
          <w:sz w:val="32"/>
          <w:szCs w:val="22"/>
        </w:rPr>
      </w:pPr>
      <w:r>
        <w:rPr>
          <w:rStyle w:val="11"/>
          <w:sz w:val="32"/>
          <w:szCs w:val="22"/>
        </w:rPr>
        <w:t>8. 一般公共服务支出（类）财政事务（款）财政委托业务支出（项）反映财政委托评审机构进行财政投资评审和委托建设银行等机构代理业务发生的支出。</w:t>
      </w:r>
    </w:p>
    <w:p w14:paraId="0416567D">
      <w:pPr>
        <w:spacing w:line="600" w:lineRule="exact"/>
        <w:ind w:firstLine="632" w:firstLineChars="200"/>
        <w:rPr>
          <w:rStyle w:val="11"/>
          <w:sz w:val="32"/>
          <w:szCs w:val="22"/>
        </w:rPr>
      </w:pPr>
      <w:r>
        <w:rPr>
          <w:rStyle w:val="11"/>
          <w:sz w:val="32"/>
          <w:szCs w:val="22"/>
        </w:rPr>
        <w:t>9. 一般公共服务支出（类）财政事务（款）事业运行（项）反映事业单位的基本支出，不包括行政单位（包括实行公务员管理的事业单位）后勤服务中心、医务室等附属事业单位。</w:t>
      </w:r>
    </w:p>
    <w:p w14:paraId="0D8AB540">
      <w:pPr>
        <w:spacing w:line="600" w:lineRule="exact"/>
        <w:ind w:firstLine="632" w:firstLineChars="200"/>
        <w:rPr>
          <w:rStyle w:val="11"/>
          <w:sz w:val="32"/>
          <w:szCs w:val="22"/>
        </w:rPr>
      </w:pPr>
      <w:r>
        <w:rPr>
          <w:rStyle w:val="11"/>
          <w:sz w:val="32"/>
          <w:szCs w:val="22"/>
        </w:rPr>
        <w:t>10. 社会保障和就业支出（类）行政事业单位养老支出（款）行政单位离退休（项）反映行政单位（包括实行公务员管理的事业单位）开支的离退休经费。</w:t>
      </w:r>
    </w:p>
    <w:p w14:paraId="65C8CAA3">
      <w:pPr>
        <w:spacing w:line="600" w:lineRule="exact"/>
        <w:ind w:firstLine="632" w:firstLineChars="200"/>
        <w:rPr>
          <w:rStyle w:val="11"/>
          <w:sz w:val="32"/>
          <w:szCs w:val="22"/>
        </w:rPr>
      </w:pPr>
      <w:r>
        <w:rPr>
          <w:rStyle w:val="11"/>
          <w:sz w:val="32"/>
          <w:szCs w:val="22"/>
        </w:rPr>
        <w:t>11. 社会保障和就业支出（类）行政事业单位养老支出（款）事业单位离退休（项）反映事业单位开支的离退休经费。</w:t>
      </w:r>
    </w:p>
    <w:p w14:paraId="37BDD3C2">
      <w:pPr>
        <w:spacing w:line="600" w:lineRule="exact"/>
        <w:ind w:firstLine="632" w:firstLineChars="200"/>
        <w:rPr>
          <w:rStyle w:val="11"/>
          <w:sz w:val="32"/>
          <w:szCs w:val="22"/>
        </w:rPr>
      </w:pPr>
      <w:r>
        <w:rPr>
          <w:rStyle w:val="11"/>
          <w:sz w:val="32"/>
          <w:szCs w:val="22"/>
        </w:rPr>
        <w:t>12. 社会保障和就业支出（类）行政事业单位养老支出（款）机关事业单位基本养老保险缴费支出（项）反映机关事业单位实施养老保险制度由单位缴纳的基本养老保险缴费支出。</w:t>
      </w:r>
    </w:p>
    <w:p w14:paraId="30FA0CA1">
      <w:pPr>
        <w:spacing w:line="600" w:lineRule="exact"/>
        <w:ind w:firstLine="632" w:firstLineChars="200"/>
        <w:rPr>
          <w:rStyle w:val="11"/>
          <w:sz w:val="32"/>
          <w:szCs w:val="22"/>
        </w:rPr>
      </w:pPr>
      <w:r>
        <w:rPr>
          <w:rStyle w:val="11"/>
          <w:sz w:val="32"/>
          <w:szCs w:val="22"/>
        </w:rPr>
        <w:t>13. 卫生健康支出（类）行政事业单位医疗（款）行政单位医疗（项）反映财政部门安排的行政单位（包括实行公务员管理的事业单位）基本医疗保险缴费经费，未参加医疗保险的行政单位的公费医疗经费，按国家规定享受的离休人员、红军老战士待遇人员的医疗经费。</w:t>
      </w:r>
    </w:p>
    <w:p w14:paraId="5BD493AA">
      <w:pPr>
        <w:spacing w:line="600" w:lineRule="exact"/>
        <w:ind w:firstLine="632" w:firstLineChars="200"/>
        <w:rPr>
          <w:rStyle w:val="11"/>
          <w:sz w:val="32"/>
          <w:szCs w:val="22"/>
        </w:rPr>
      </w:pPr>
      <w:r>
        <w:rPr>
          <w:rStyle w:val="11"/>
          <w:sz w:val="32"/>
          <w:szCs w:val="22"/>
        </w:rPr>
        <w:t>14. 卫生健康支出（类）（类）行政事业单位医疗（款）事业单位医疗（项）反映财政部门安排的事业单位基本医疗保险缴费经费，未参加医疗保险的事业单位的公费医疗经费，按国家规定享受离休人员待遇的医疗经费。</w:t>
      </w:r>
    </w:p>
    <w:p w14:paraId="46F4B067">
      <w:pPr>
        <w:spacing w:line="600" w:lineRule="exact"/>
        <w:ind w:firstLine="632" w:firstLineChars="200"/>
        <w:rPr>
          <w:rStyle w:val="11"/>
          <w:sz w:val="32"/>
          <w:szCs w:val="22"/>
        </w:rPr>
      </w:pPr>
      <w:r>
        <w:rPr>
          <w:rStyle w:val="11"/>
          <w:sz w:val="32"/>
          <w:szCs w:val="22"/>
        </w:rPr>
        <w:t>15. 住房保障支出（类）住房改革支出（款）住房公积金（项）反映行政事业单位按人力资源和社会保障部、财政部规定的基本工资和津贴补贴以及规定比例为职工缴纳的住房公积金。</w:t>
      </w:r>
    </w:p>
    <w:p w14:paraId="7A99E8B6">
      <w:pPr>
        <w:spacing w:line="560" w:lineRule="exact"/>
        <w:ind w:firstLine="632" w:firstLineChars="200"/>
      </w:pPr>
    </w:p>
    <w:p w14:paraId="7D379CE0">
      <w:pPr>
        <w:spacing w:line="560" w:lineRule="exact"/>
        <w:ind w:firstLine="1258" w:firstLineChars="398"/>
        <w:rPr>
          <w:rFonts w:hint="eastAsia"/>
        </w:rPr>
      </w:pPr>
    </w:p>
    <w:bookmarkEnd w:id="0"/>
    <w:sectPr>
      <w:headerReference r:id="rId3" w:type="default"/>
      <w:footerReference r:id="rId4" w:type="default"/>
      <w:footerReference r:id="rId5" w:type="even"/>
      <w:pgSz w:w="11906" w:h="16838"/>
      <w:pgMar w:top="2098" w:right="1474" w:bottom="1985" w:left="1588" w:header="851" w:footer="1701"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A3718">
    <w:pPr>
      <w:pStyle w:val="6"/>
      <w:framePr w:wrap="around" w:vAnchor="text" w:hAnchor="margin" w:xAlign="outside" w:y="1"/>
      <w:ind w:left="320" w:leftChars="100" w:right="320" w:rightChars="100"/>
      <w:rPr>
        <w:rStyle w:val="10"/>
        <w:rFonts w:ascii="宋体" w:hAnsi="宋体" w:eastAsia="宋体"/>
        <w:sz w:val="28"/>
        <w:szCs w:val="28"/>
      </w:rPr>
    </w:pP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- 12 -</w:t>
    </w:r>
    <w:r>
      <w:rPr>
        <w:rFonts w:ascii="宋体" w:hAnsi="宋体" w:eastAsia="宋体"/>
        <w:sz w:val="28"/>
        <w:szCs w:val="28"/>
      </w:rPr>
      <w:fldChar w:fldCharType="end"/>
    </w:r>
  </w:p>
  <w:p w14:paraId="002981F5">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7FBDA">
    <w:pPr>
      <w:pStyle w:val="6"/>
      <w:framePr w:wrap="around" w:vAnchor="text" w:hAnchor="margin" w:xAlign="outside" w:y="1"/>
      <w:rPr>
        <w:rStyle w:val="10"/>
      </w:rPr>
    </w:pPr>
    <w:r>
      <w:fldChar w:fldCharType="begin"/>
    </w:r>
    <w:r>
      <w:rPr>
        <w:rStyle w:val="10"/>
      </w:rPr>
      <w:instrText xml:space="preserve">PAGE  </w:instrText>
    </w:r>
    <w:r>
      <w:fldChar w:fldCharType="end"/>
    </w:r>
  </w:p>
  <w:p w14:paraId="03ACC713">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DF0FC">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C5"/>
    <w:rsid w:val="000000E0"/>
    <w:rsid w:val="00003678"/>
    <w:rsid w:val="00006226"/>
    <w:rsid w:val="00015411"/>
    <w:rsid w:val="00015FFE"/>
    <w:rsid w:val="00017377"/>
    <w:rsid w:val="000201C2"/>
    <w:rsid w:val="000236B2"/>
    <w:rsid w:val="00025A1E"/>
    <w:rsid w:val="0002614C"/>
    <w:rsid w:val="00032E23"/>
    <w:rsid w:val="00040C64"/>
    <w:rsid w:val="000478FF"/>
    <w:rsid w:val="00047DFF"/>
    <w:rsid w:val="00047F23"/>
    <w:rsid w:val="00053504"/>
    <w:rsid w:val="00055F3B"/>
    <w:rsid w:val="00064396"/>
    <w:rsid w:val="000704CA"/>
    <w:rsid w:val="00072C77"/>
    <w:rsid w:val="00076227"/>
    <w:rsid w:val="00077626"/>
    <w:rsid w:val="00080E7C"/>
    <w:rsid w:val="000820B3"/>
    <w:rsid w:val="0008343A"/>
    <w:rsid w:val="000852FE"/>
    <w:rsid w:val="0008647F"/>
    <w:rsid w:val="00087CD6"/>
    <w:rsid w:val="00094307"/>
    <w:rsid w:val="000963F8"/>
    <w:rsid w:val="00097CC7"/>
    <w:rsid w:val="000A086C"/>
    <w:rsid w:val="000A1CE9"/>
    <w:rsid w:val="000A3E79"/>
    <w:rsid w:val="000B1096"/>
    <w:rsid w:val="000B4C12"/>
    <w:rsid w:val="000B677D"/>
    <w:rsid w:val="000C0FCB"/>
    <w:rsid w:val="000C4A9E"/>
    <w:rsid w:val="000C6F2D"/>
    <w:rsid w:val="000D0112"/>
    <w:rsid w:val="000D0EDB"/>
    <w:rsid w:val="000D14F6"/>
    <w:rsid w:val="000D2427"/>
    <w:rsid w:val="000E0010"/>
    <w:rsid w:val="000E6683"/>
    <w:rsid w:val="000E6D15"/>
    <w:rsid w:val="000E7585"/>
    <w:rsid w:val="00100327"/>
    <w:rsid w:val="00112878"/>
    <w:rsid w:val="00113C69"/>
    <w:rsid w:val="0012393D"/>
    <w:rsid w:val="001256C6"/>
    <w:rsid w:val="001260D6"/>
    <w:rsid w:val="00137284"/>
    <w:rsid w:val="00141A01"/>
    <w:rsid w:val="00145BB8"/>
    <w:rsid w:val="0014670B"/>
    <w:rsid w:val="00161001"/>
    <w:rsid w:val="0016203C"/>
    <w:rsid w:val="001753D5"/>
    <w:rsid w:val="001762E8"/>
    <w:rsid w:val="00176B3D"/>
    <w:rsid w:val="00182C70"/>
    <w:rsid w:val="00183E5A"/>
    <w:rsid w:val="001874C8"/>
    <w:rsid w:val="001961A6"/>
    <w:rsid w:val="001A6057"/>
    <w:rsid w:val="001A6DE1"/>
    <w:rsid w:val="001A6FC1"/>
    <w:rsid w:val="001B3342"/>
    <w:rsid w:val="001B3BBE"/>
    <w:rsid w:val="001C29B2"/>
    <w:rsid w:val="001C488A"/>
    <w:rsid w:val="001C75EA"/>
    <w:rsid w:val="001D1098"/>
    <w:rsid w:val="001D3886"/>
    <w:rsid w:val="001D753F"/>
    <w:rsid w:val="001E1127"/>
    <w:rsid w:val="001E306F"/>
    <w:rsid w:val="001F2E5F"/>
    <w:rsid w:val="001F367A"/>
    <w:rsid w:val="00205171"/>
    <w:rsid w:val="00206808"/>
    <w:rsid w:val="0020723C"/>
    <w:rsid w:val="00211E9C"/>
    <w:rsid w:val="00215C5D"/>
    <w:rsid w:val="00215FA9"/>
    <w:rsid w:val="00220CB8"/>
    <w:rsid w:val="00225B41"/>
    <w:rsid w:val="00230B97"/>
    <w:rsid w:val="00231D4B"/>
    <w:rsid w:val="002325C1"/>
    <w:rsid w:val="0024361D"/>
    <w:rsid w:val="00244D49"/>
    <w:rsid w:val="00245BCD"/>
    <w:rsid w:val="00246172"/>
    <w:rsid w:val="00247314"/>
    <w:rsid w:val="002478F0"/>
    <w:rsid w:val="00252440"/>
    <w:rsid w:val="00254BED"/>
    <w:rsid w:val="00255204"/>
    <w:rsid w:val="00255FB4"/>
    <w:rsid w:val="0025717C"/>
    <w:rsid w:val="00263954"/>
    <w:rsid w:val="00267122"/>
    <w:rsid w:val="00271689"/>
    <w:rsid w:val="00272DA9"/>
    <w:rsid w:val="002735B8"/>
    <w:rsid w:val="00284722"/>
    <w:rsid w:val="00290C67"/>
    <w:rsid w:val="002961AB"/>
    <w:rsid w:val="002A0625"/>
    <w:rsid w:val="002A0EFA"/>
    <w:rsid w:val="002A1961"/>
    <w:rsid w:val="002A250F"/>
    <w:rsid w:val="002A2BE2"/>
    <w:rsid w:val="002A54A9"/>
    <w:rsid w:val="002B2F66"/>
    <w:rsid w:val="002B3D6B"/>
    <w:rsid w:val="002C27EE"/>
    <w:rsid w:val="002D2170"/>
    <w:rsid w:val="002D5790"/>
    <w:rsid w:val="002E1FE7"/>
    <w:rsid w:val="002E2901"/>
    <w:rsid w:val="002E2A20"/>
    <w:rsid w:val="002E453E"/>
    <w:rsid w:val="002E7C21"/>
    <w:rsid w:val="002F2377"/>
    <w:rsid w:val="002F395D"/>
    <w:rsid w:val="002F468D"/>
    <w:rsid w:val="002F5092"/>
    <w:rsid w:val="003035F1"/>
    <w:rsid w:val="003063D1"/>
    <w:rsid w:val="00311785"/>
    <w:rsid w:val="003122A1"/>
    <w:rsid w:val="00316CF5"/>
    <w:rsid w:val="003177F5"/>
    <w:rsid w:val="00325626"/>
    <w:rsid w:val="00333DBA"/>
    <w:rsid w:val="003373AC"/>
    <w:rsid w:val="0034272E"/>
    <w:rsid w:val="0035289B"/>
    <w:rsid w:val="00353466"/>
    <w:rsid w:val="00356D90"/>
    <w:rsid w:val="00365E17"/>
    <w:rsid w:val="00367ED3"/>
    <w:rsid w:val="003859A9"/>
    <w:rsid w:val="00390718"/>
    <w:rsid w:val="00390C5D"/>
    <w:rsid w:val="00392D9B"/>
    <w:rsid w:val="0039588F"/>
    <w:rsid w:val="0039765E"/>
    <w:rsid w:val="003A491D"/>
    <w:rsid w:val="003A615E"/>
    <w:rsid w:val="003A6658"/>
    <w:rsid w:val="003B2168"/>
    <w:rsid w:val="003B4C9C"/>
    <w:rsid w:val="003B6821"/>
    <w:rsid w:val="003B74D6"/>
    <w:rsid w:val="003C09D1"/>
    <w:rsid w:val="003C59C9"/>
    <w:rsid w:val="003D753E"/>
    <w:rsid w:val="003D7F55"/>
    <w:rsid w:val="003E0B67"/>
    <w:rsid w:val="003E2BE7"/>
    <w:rsid w:val="003F036F"/>
    <w:rsid w:val="004025FC"/>
    <w:rsid w:val="00402ABB"/>
    <w:rsid w:val="004079DD"/>
    <w:rsid w:val="004115F1"/>
    <w:rsid w:val="00413238"/>
    <w:rsid w:val="004141DD"/>
    <w:rsid w:val="00421ABA"/>
    <w:rsid w:val="004267C3"/>
    <w:rsid w:val="00436EBF"/>
    <w:rsid w:val="00440711"/>
    <w:rsid w:val="00440E4D"/>
    <w:rsid w:val="0044325F"/>
    <w:rsid w:val="0044463D"/>
    <w:rsid w:val="0044594D"/>
    <w:rsid w:val="00452FE0"/>
    <w:rsid w:val="00453A7D"/>
    <w:rsid w:val="00455680"/>
    <w:rsid w:val="004630AE"/>
    <w:rsid w:val="004650D5"/>
    <w:rsid w:val="00467F5E"/>
    <w:rsid w:val="00470226"/>
    <w:rsid w:val="00473494"/>
    <w:rsid w:val="00473DBB"/>
    <w:rsid w:val="004744A7"/>
    <w:rsid w:val="00474FCD"/>
    <w:rsid w:val="00476918"/>
    <w:rsid w:val="00477C18"/>
    <w:rsid w:val="00483CC0"/>
    <w:rsid w:val="00485708"/>
    <w:rsid w:val="0048586C"/>
    <w:rsid w:val="00485AF5"/>
    <w:rsid w:val="00492AB1"/>
    <w:rsid w:val="004932F9"/>
    <w:rsid w:val="0049515F"/>
    <w:rsid w:val="00497A87"/>
    <w:rsid w:val="00497D70"/>
    <w:rsid w:val="00497E86"/>
    <w:rsid w:val="004A040D"/>
    <w:rsid w:val="004A42F9"/>
    <w:rsid w:val="004A50FF"/>
    <w:rsid w:val="004B6EB8"/>
    <w:rsid w:val="004C0268"/>
    <w:rsid w:val="004D13FD"/>
    <w:rsid w:val="004D17E0"/>
    <w:rsid w:val="004D2CC3"/>
    <w:rsid w:val="004E1B65"/>
    <w:rsid w:val="004E3816"/>
    <w:rsid w:val="004E41A4"/>
    <w:rsid w:val="004F00EE"/>
    <w:rsid w:val="004F15E3"/>
    <w:rsid w:val="004F2E0F"/>
    <w:rsid w:val="004F707E"/>
    <w:rsid w:val="00514C8C"/>
    <w:rsid w:val="00516E61"/>
    <w:rsid w:val="00521E6C"/>
    <w:rsid w:val="00522B91"/>
    <w:rsid w:val="00524208"/>
    <w:rsid w:val="0053397F"/>
    <w:rsid w:val="005340CA"/>
    <w:rsid w:val="005400AD"/>
    <w:rsid w:val="00540C8F"/>
    <w:rsid w:val="00541010"/>
    <w:rsid w:val="00541552"/>
    <w:rsid w:val="00543C07"/>
    <w:rsid w:val="00563859"/>
    <w:rsid w:val="005677BE"/>
    <w:rsid w:val="00567B35"/>
    <w:rsid w:val="00567D70"/>
    <w:rsid w:val="005733A7"/>
    <w:rsid w:val="0059740E"/>
    <w:rsid w:val="005A17BC"/>
    <w:rsid w:val="005A32BD"/>
    <w:rsid w:val="005A46A0"/>
    <w:rsid w:val="005A5137"/>
    <w:rsid w:val="005A7E74"/>
    <w:rsid w:val="005B1F50"/>
    <w:rsid w:val="005B5989"/>
    <w:rsid w:val="005B734C"/>
    <w:rsid w:val="005C47C7"/>
    <w:rsid w:val="005C495F"/>
    <w:rsid w:val="005C7608"/>
    <w:rsid w:val="005D0A63"/>
    <w:rsid w:val="005D18E6"/>
    <w:rsid w:val="005D5C7F"/>
    <w:rsid w:val="005E1B95"/>
    <w:rsid w:val="005E27C5"/>
    <w:rsid w:val="005E3C45"/>
    <w:rsid w:val="005E62CF"/>
    <w:rsid w:val="005E79E6"/>
    <w:rsid w:val="005F0A6B"/>
    <w:rsid w:val="005F4ED6"/>
    <w:rsid w:val="0060356F"/>
    <w:rsid w:val="006049F3"/>
    <w:rsid w:val="00604C13"/>
    <w:rsid w:val="006071F7"/>
    <w:rsid w:val="0061281D"/>
    <w:rsid w:val="00612DE2"/>
    <w:rsid w:val="006135A9"/>
    <w:rsid w:val="00621CF8"/>
    <w:rsid w:val="006220C4"/>
    <w:rsid w:val="0062233A"/>
    <w:rsid w:val="00625A38"/>
    <w:rsid w:val="00631E27"/>
    <w:rsid w:val="00632460"/>
    <w:rsid w:val="00634A4E"/>
    <w:rsid w:val="00641507"/>
    <w:rsid w:val="0064416D"/>
    <w:rsid w:val="0064660D"/>
    <w:rsid w:val="00647475"/>
    <w:rsid w:val="006479BD"/>
    <w:rsid w:val="0065190B"/>
    <w:rsid w:val="00652127"/>
    <w:rsid w:val="00655EFB"/>
    <w:rsid w:val="00660ECF"/>
    <w:rsid w:val="00662527"/>
    <w:rsid w:val="00664A6C"/>
    <w:rsid w:val="00665CB5"/>
    <w:rsid w:val="00671951"/>
    <w:rsid w:val="00671EBA"/>
    <w:rsid w:val="006801B5"/>
    <w:rsid w:val="006830F6"/>
    <w:rsid w:val="00694C11"/>
    <w:rsid w:val="006A139D"/>
    <w:rsid w:val="006A5897"/>
    <w:rsid w:val="006B0C61"/>
    <w:rsid w:val="006C15EF"/>
    <w:rsid w:val="006C3A5B"/>
    <w:rsid w:val="006C4F67"/>
    <w:rsid w:val="006D0858"/>
    <w:rsid w:val="006E1D88"/>
    <w:rsid w:val="006E261E"/>
    <w:rsid w:val="006E2CDB"/>
    <w:rsid w:val="006E593F"/>
    <w:rsid w:val="006E76A3"/>
    <w:rsid w:val="006E787B"/>
    <w:rsid w:val="006F02F4"/>
    <w:rsid w:val="006F45BB"/>
    <w:rsid w:val="006F5297"/>
    <w:rsid w:val="006F5882"/>
    <w:rsid w:val="006F5AF1"/>
    <w:rsid w:val="006F6663"/>
    <w:rsid w:val="007013B4"/>
    <w:rsid w:val="00701CAA"/>
    <w:rsid w:val="00702250"/>
    <w:rsid w:val="00703FBB"/>
    <w:rsid w:val="00705E7D"/>
    <w:rsid w:val="00706BE6"/>
    <w:rsid w:val="007126CC"/>
    <w:rsid w:val="007214DA"/>
    <w:rsid w:val="0072232F"/>
    <w:rsid w:val="00725019"/>
    <w:rsid w:val="00726709"/>
    <w:rsid w:val="00733241"/>
    <w:rsid w:val="00733A95"/>
    <w:rsid w:val="00733D28"/>
    <w:rsid w:val="007535AF"/>
    <w:rsid w:val="00754F22"/>
    <w:rsid w:val="00755D3C"/>
    <w:rsid w:val="007566C5"/>
    <w:rsid w:val="007570F7"/>
    <w:rsid w:val="00760675"/>
    <w:rsid w:val="00760999"/>
    <w:rsid w:val="007666B6"/>
    <w:rsid w:val="00767DBC"/>
    <w:rsid w:val="0077192F"/>
    <w:rsid w:val="00776E80"/>
    <w:rsid w:val="00777157"/>
    <w:rsid w:val="0078104A"/>
    <w:rsid w:val="007834D8"/>
    <w:rsid w:val="007840F0"/>
    <w:rsid w:val="007869D5"/>
    <w:rsid w:val="00791523"/>
    <w:rsid w:val="00793CEC"/>
    <w:rsid w:val="007A7F59"/>
    <w:rsid w:val="007B2003"/>
    <w:rsid w:val="007B4CFE"/>
    <w:rsid w:val="007B6D52"/>
    <w:rsid w:val="007C0277"/>
    <w:rsid w:val="007C35B4"/>
    <w:rsid w:val="007C3C96"/>
    <w:rsid w:val="007D0B80"/>
    <w:rsid w:val="007D0EFA"/>
    <w:rsid w:val="007D343B"/>
    <w:rsid w:val="007D7956"/>
    <w:rsid w:val="007E3C55"/>
    <w:rsid w:val="007E4A24"/>
    <w:rsid w:val="007E4C6F"/>
    <w:rsid w:val="007E74C8"/>
    <w:rsid w:val="007F16B6"/>
    <w:rsid w:val="007F26E1"/>
    <w:rsid w:val="007F5B52"/>
    <w:rsid w:val="007F70E6"/>
    <w:rsid w:val="008012DA"/>
    <w:rsid w:val="00801837"/>
    <w:rsid w:val="00805A23"/>
    <w:rsid w:val="008119DE"/>
    <w:rsid w:val="0081229B"/>
    <w:rsid w:val="00820525"/>
    <w:rsid w:val="00820559"/>
    <w:rsid w:val="0082686F"/>
    <w:rsid w:val="0082706C"/>
    <w:rsid w:val="0083239F"/>
    <w:rsid w:val="00842A76"/>
    <w:rsid w:val="0084419B"/>
    <w:rsid w:val="008441A7"/>
    <w:rsid w:val="00846D71"/>
    <w:rsid w:val="00847598"/>
    <w:rsid w:val="008500A3"/>
    <w:rsid w:val="00854552"/>
    <w:rsid w:val="0087301D"/>
    <w:rsid w:val="0088096B"/>
    <w:rsid w:val="00882B24"/>
    <w:rsid w:val="00884DB0"/>
    <w:rsid w:val="0088572E"/>
    <w:rsid w:val="00891DFB"/>
    <w:rsid w:val="008A1EE5"/>
    <w:rsid w:val="008A2186"/>
    <w:rsid w:val="008A277F"/>
    <w:rsid w:val="008B1F17"/>
    <w:rsid w:val="008B25DF"/>
    <w:rsid w:val="008B29CE"/>
    <w:rsid w:val="008B6AF8"/>
    <w:rsid w:val="008C2B52"/>
    <w:rsid w:val="008D5B4C"/>
    <w:rsid w:val="008D6283"/>
    <w:rsid w:val="008D769F"/>
    <w:rsid w:val="008E087A"/>
    <w:rsid w:val="008E1B99"/>
    <w:rsid w:val="008E34D9"/>
    <w:rsid w:val="008E77F1"/>
    <w:rsid w:val="008F1E36"/>
    <w:rsid w:val="0090508F"/>
    <w:rsid w:val="00905226"/>
    <w:rsid w:val="0090695B"/>
    <w:rsid w:val="00907AF4"/>
    <w:rsid w:val="00907F9C"/>
    <w:rsid w:val="00910B9D"/>
    <w:rsid w:val="0091606A"/>
    <w:rsid w:val="00920505"/>
    <w:rsid w:val="009266CF"/>
    <w:rsid w:val="00926E3F"/>
    <w:rsid w:val="009322F9"/>
    <w:rsid w:val="009378B1"/>
    <w:rsid w:val="00940EB5"/>
    <w:rsid w:val="00942C81"/>
    <w:rsid w:val="00946215"/>
    <w:rsid w:val="00946B58"/>
    <w:rsid w:val="00950FE2"/>
    <w:rsid w:val="00951ADF"/>
    <w:rsid w:val="00953178"/>
    <w:rsid w:val="009610EA"/>
    <w:rsid w:val="00971C12"/>
    <w:rsid w:val="00983596"/>
    <w:rsid w:val="00983B1D"/>
    <w:rsid w:val="00990112"/>
    <w:rsid w:val="00995AC2"/>
    <w:rsid w:val="0099726A"/>
    <w:rsid w:val="00997B62"/>
    <w:rsid w:val="009A016C"/>
    <w:rsid w:val="009A0986"/>
    <w:rsid w:val="009A1AC8"/>
    <w:rsid w:val="009A23BD"/>
    <w:rsid w:val="009A2C17"/>
    <w:rsid w:val="009B6E5A"/>
    <w:rsid w:val="009B6F8F"/>
    <w:rsid w:val="009C0F2F"/>
    <w:rsid w:val="009C25C8"/>
    <w:rsid w:val="009C5133"/>
    <w:rsid w:val="009D0DC6"/>
    <w:rsid w:val="009D11CA"/>
    <w:rsid w:val="009D6522"/>
    <w:rsid w:val="009E03B2"/>
    <w:rsid w:val="009E1519"/>
    <w:rsid w:val="009F4BEB"/>
    <w:rsid w:val="00A01368"/>
    <w:rsid w:val="00A02605"/>
    <w:rsid w:val="00A02BD7"/>
    <w:rsid w:val="00A0607C"/>
    <w:rsid w:val="00A06B16"/>
    <w:rsid w:val="00A111E9"/>
    <w:rsid w:val="00A14D8F"/>
    <w:rsid w:val="00A16B96"/>
    <w:rsid w:val="00A17087"/>
    <w:rsid w:val="00A22F88"/>
    <w:rsid w:val="00A2306B"/>
    <w:rsid w:val="00A230E6"/>
    <w:rsid w:val="00A23388"/>
    <w:rsid w:val="00A23A82"/>
    <w:rsid w:val="00A25D92"/>
    <w:rsid w:val="00A267BA"/>
    <w:rsid w:val="00A30221"/>
    <w:rsid w:val="00A3583B"/>
    <w:rsid w:val="00A4536D"/>
    <w:rsid w:val="00A56C62"/>
    <w:rsid w:val="00A71DBC"/>
    <w:rsid w:val="00A76662"/>
    <w:rsid w:val="00A77A30"/>
    <w:rsid w:val="00A77BB8"/>
    <w:rsid w:val="00A834FD"/>
    <w:rsid w:val="00A83D20"/>
    <w:rsid w:val="00A96446"/>
    <w:rsid w:val="00AA39FE"/>
    <w:rsid w:val="00AA3C62"/>
    <w:rsid w:val="00AA4267"/>
    <w:rsid w:val="00AA676E"/>
    <w:rsid w:val="00AA6F4F"/>
    <w:rsid w:val="00AA6FDD"/>
    <w:rsid w:val="00AB2A02"/>
    <w:rsid w:val="00AC1BB9"/>
    <w:rsid w:val="00AC433F"/>
    <w:rsid w:val="00AD223F"/>
    <w:rsid w:val="00AD5F2E"/>
    <w:rsid w:val="00AD695D"/>
    <w:rsid w:val="00AE2AA6"/>
    <w:rsid w:val="00AF128E"/>
    <w:rsid w:val="00AF25A9"/>
    <w:rsid w:val="00B00E23"/>
    <w:rsid w:val="00B00F11"/>
    <w:rsid w:val="00B033AF"/>
    <w:rsid w:val="00B04635"/>
    <w:rsid w:val="00B06B6C"/>
    <w:rsid w:val="00B12ABF"/>
    <w:rsid w:val="00B12D63"/>
    <w:rsid w:val="00B15375"/>
    <w:rsid w:val="00B171BC"/>
    <w:rsid w:val="00B17396"/>
    <w:rsid w:val="00B22F10"/>
    <w:rsid w:val="00B240DC"/>
    <w:rsid w:val="00B25762"/>
    <w:rsid w:val="00B2680A"/>
    <w:rsid w:val="00B3410D"/>
    <w:rsid w:val="00B422EB"/>
    <w:rsid w:val="00B4361B"/>
    <w:rsid w:val="00B46622"/>
    <w:rsid w:val="00B47816"/>
    <w:rsid w:val="00B508E8"/>
    <w:rsid w:val="00B5412F"/>
    <w:rsid w:val="00B55A4F"/>
    <w:rsid w:val="00B55FC6"/>
    <w:rsid w:val="00B57CFF"/>
    <w:rsid w:val="00B62F28"/>
    <w:rsid w:val="00B641CB"/>
    <w:rsid w:val="00B702F0"/>
    <w:rsid w:val="00B7037C"/>
    <w:rsid w:val="00B73B49"/>
    <w:rsid w:val="00B74075"/>
    <w:rsid w:val="00B76949"/>
    <w:rsid w:val="00B80518"/>
    <w:rsid w:val="00B82462"/>
    <w:rsid w:val="00B922CC"/>
    <w:rsid w:val="00B9673E"/>
    <w:rsid w:val="00B973CA"/>
    <w:rsid w:val="00B97766"/>
    <w:rsid w:val="00BA013D"/>
    <w:rsid w:val="00BA2387"/>
    <w:rsid w:val="00BA2A06"/>
    <w:rsid w:val="00BB1400"/>
    <w:rsid w:val="00BB2194"/>
    <w:rsid w:val="00BB287D"/>
    <w:rsid w:val="00BB2C2A"/>
    <w:rsid w:val="00BB3F73"/>
    <w:rsid w:val="00BB5C16"/>
    <w:rsid w:val="00BC13E3"/>
    <w:rsid w:val="00BC62F3"/>
    <w:rsid w:val="00BD6EF9"/>
    <w:rsid w:val="00BE05EA"/>
    <w:rsid w:val="00BE1233"/>
    <w:rsid w:val="00BE2FA0"/>
    <w:rsid w:val="00BE4AB4"/>
    <w:rsid w:val="00BE7C49"/>
    <w:rsid w:val="00BF137F"/>
    <w:rsid w:val="00BF6CC1"/>
    <w:rsid w:val="00C054D2"/>
    <w:rsid w:val="00C06C8B"/>
    <w:rsid w:val="00C06D68"/>
    <w:rsid w:val="00C2202C"/>
    <w:rsid w:val="00C27535"/>
    <w:rsid w:val="00C317A0"/>
    <w:rsid w:val="00C3399B"/>
    <w:rsid w:val="00C3677B"/>
    <w:rsid w:val="00C42EBA"/>
    <w:rsid w:val="00C4653B"/>
    <w:rsid w:val="00C4700D"/>
    <w:rsid w:val="00C5079F"/>
    <w:rsid w:val="00C60CC9"/>
    <w:rsid w:val="00C62BEB"/>
    <w:rsid w:val="00C65822"/>
    <w:rsid w:val="00C70090"/>
    <w:rsid w:val="00C74A6A"/>
    <w:rsid w:val="00C755FF"/>
    <w:rsid w:val="00C83201"/>
    <w:rsid w:val="00C84E87"/>
    <w:rsid w:val="00C87031"/>
    <w:rsid w:val="00C903DE"/>
    <w:rsid w:val="00C90CE4"/>
    <w:rsid w:val="00C969FC"/>
    <w:rsid w:val="00C97EA6"/>
    <w:rsid w:val="00CA3448"/>
    <w:rsid w:val="00CA3CDD"/>
    <w:rsid w:val="00CA54E5"/>
    <w:rsid w:val="00CA698F"/>
    <w:rsid w:val="00CA79DC"/>
    <w:rsid w:val="00CB4325"/>
    <w:rsid w:val="00CB466C"/>
    <w:rsid w:val="00CB53B5"/>
    <w:rsid w:val="00CB5F59"/>
    <w:rsid w:val="00CC4C1D"/>
    <w:rsid w:val="00CD2F2D"/>
    <w:rsid w:val="00CD6658"/>
    <w:rsid w:val="00CD75E6"/>
    <w:rsid w:val="00CE3537"/>
    <w:rsid w:val="00CE6587"/>
    <w:rsid w:val="00D16A78"/>
    <w:rsid w:val="00D24280"/>
    <w:rsid w:val="00D261B3"/>
    <w:rsid w:val="00D26BE8"/>
    <w:rsid w:val="00D317A6"/>
    <w:rsid w:val="00D32379"/>
    <w:rsid w:val="00D32693"/>
    <w:rsid w:val="00D3701E"/>
    <w:rsid w:val="00D37229"/>
    <w:rsid w:val="00D40AFC"/>
    <w:rsid w:val="00D41E29"/>
    <w:rsid w:val="00D53C35"/>
    <w:rsid w:val="00D55538"/>
    <w:rsid w:val="00D601CB"/>
    <w:rsid w:val="00D60B4E"/>
    <w:rsid w:val="00D61B07"/>
    <w:rsid w:val="00D62216"/>
    <w:rsid w:val="00D6626A"/>
    <w:rsid w:val="00D756FC"/>
    <w:rsid w:val="00D76166"/>
    <w:rsid w:val="00D8271F"/>
    <w:rsid w:val="00D848AE"/>
    <w:rsid w:val="00D8577D"/>
    <w:rsid w:val="00D923BE"/>
    <w:rsid w:val="00DA726E"/>
    <w:rsid w:val="00DA73A7"/>
    <w:rsid w:val="00DB07F8"/>
    <w:rsid w:val="00DB0DA9"/>
    <w:rsid w:val="00DB7559"/>
    <w:rsid w:val="00DC3CCE"/>
    <w:rsid w:val="00DC4E2E"/>
    <w:rsid w:val="00DE79D8"/>
    <w:rsid w:val="00DF485A"/>
    <w:rsid w:val="00E05F4F"/>
    <w:rsid w:val="00E0672A"/>
    <w:rsid w:val="00E068A1"/>
    <w:rsid w:val="00E25ADB"/>
    <w:rsid w:val="00E2775E"/>
    <w:rsid w:val="00E4733C"/>
    <w:rsid w:val="00E52CAD"/>
    <w:rsid w:val="00E551E2"/>
    <w:rsid w:val="00E704BC"/>
    <w:rsid w:val="00E71552"/>
    <w:rsid w:val="00E72440"/>
    <w:rsid w:val="00E81340"/>
    <w:rsid w:val="00E839C9"/>
    <w:rsid w:val="00E8434A"/>
    <w:rsid w:val="00E867C5"/>
    <w:rsid w:val="00E86B3A"/>
    <w:rsid w:val="00E91315"/>
    <w:rsid w:val="00E9250E"/>
    <w:rsid w:val="00E96E06"/>
    <w:rsid w:val="00E9769D"/>
    <w:rsid w:val="00EA6938"/>
    <w:rsid w:val="00EA70C3"/>
    <w:rsid w:val="00EA7501"/>
    <w:rsid w:val="00EB07F3"/>
    <w:rsid w:val="00EB2230"/>
    <w:rsid w:val="00EB5D92"/>
    <w:rsid w:val="00EB5F12"/>
    <w:rsid w:val="00EC0B27"/>
    <w:rsid w:val="00ED0FD2"/>
    <w:rsid w:val="00ED103C"/>
    <w:rsid w:val="00ED2022"/>
    <w:rsid w:val="00ED2053"/>
    <w:rsid w:val="00ED2D26"/>
    <w:rsid w:val="00ED3CFD"/>
    <w:rsid w:val="00ED7513"/>
    <w:rsid w:val="00EE1BFC"/>
    <w:rsid w:val="00EE3BB6"/>
    <w:rsid w:val="00EE6445"/>
    <w:rsid w:val="00EF076A"/>
    <w:rsid w:val="00F00DEE"/>
    <w:rsid w:val="00F11A61"/>
    <w:rsid w:val="00F1289F"/>
    <w:rsid w:val="00F14719"/>
    <w:rsid w:val="00F23066"/>
    <w:rsid w:val="00F23078"/>
    <w:rsid w:val="00F23148"/>
    <w:rsid w:val="00F25CC4"/>
    <w:rsid w:val="00F27575"/>
    <w:rsid w:val="00F4026E"/>
    <w:rsid w:val="00F4290D"/>
    <w:rsid w:val="00F45894"/>
    <w:rsid w:val="00F46BAC"/>
    <w:rsid w:val="00F51B7E"/>
    <w:rsid w:val="00F569D5"/>
    <w:rsid w:val="00F57747"/>
    <w:rsid w:val="00F64AF2"/>
    <w:rsid w:val="00F71808"/>
    <w:rsid w:val="00F829AC"/>
    <w:rsid w:val="00F843C4"/>
    <w:rsid w:val="00F874D4"/>
    <w:rsid w:val="00F97A44"/>
    <w:rsid w:val="00FA05F4"/>
    <w:rsid w:val="00FA353C"/>
    <w:rsid w:val="00FB011C"/>
    <w:rsid w:val="00FB0A44"/>
    <w:rsid w:val="00FB1754"/>
    <w:rsid w:val="00FB77C2"/>
    <w:rsid w:val="00FC3CA6"/>
    <w:rsid w:val="00FC577F"/>
    <w:rsid w:val="00FC5F43"/>
    <w:rsid w:val="00FE47EA"/>
    <w:rsid w:val="00FE5FB9"/>
    <w:rsid w:val="00FF7A58"/>
    <w:rsid w:val="0359240B"/>
    <w:rsid w:val="188828CB"/>
    <w:rsid w:val="18920C62"/>
    <w:rsid w:val="1A120A92"/>
    <w:rsid w:val="234A4B65"/>
    <w:rsid w:val="25D54367"/>
    <w:rsid w:val="27542D7D"/>
    <w:rsid w:val="27905C63"/>
    <w:rsid w:val="2B297F57"/>
    <w:rsid w:val="37FD4271"/>
    <w:rsid w:val="39FE6426"/>
    <w:rsid w:val="3FF74375"/>
    <w:rsid w:val="401B5DE2"/>
    <w:rsid w:val="40DF396B"/>
    <w:rsid w:val="42624E8A"/>
    <w:rsid w:val="54B72613"/>
    <w:rsid w:val="577B4638"/>
    <w:rsid w:val="59445080"/>
    <w:rsid w:val="5CFF31EC"/>
    <w:rsid w:val="5CFF47CD"/>
    <w:rsid w:val="5DDF1924"/>
    <w:rsid w:val="6D494B0A"/>
    <w:rsid w:val="6E7B4D55"/>
    <w:rsid w:val="6F7F4CF4"/>
    <w:rsid w:val="6FEBC361"/>
    <w:rsid w:val="70086687"/>
    <w:rsid w:val="73BA373D"/>
    <w:rsid w:val="73FF6C6C"/>
    <w:rsid w:val="78BD39A0"/>
    <w:rsid w:val="791160C4"/>
    <w:rsid w:val="79405A75"/>
    <w:rsid w:val="7A2E73ED"/>
    <w:rsid w:val="7A499082"/>
    <w:rsid w:val="7BFFD740"/>
    <w:rsid w:val="7DFF50F2"/>
    <w:rsid w:val="7FF7942C"/>
    <w:rsid w:val="A657587C"/>
    <w:rsid w:val="B4E7F0F3"/>
    <w:rsid w:val="CE9EECFF"/>
    <w:rsid w:val="DDFF7283"/>
    <w:rsid w:val="DE93D3A1"/>
    <w:rsid w:val="DEF94F9D"/>
    <w:rsid w:val="EFEFE777"/>
    <w:rsid w:val="F5CF19B3"/>
    <w:rsid w:val="F6A79334"/>
    <w:rsid w:val="F9DF0FA7"/>
    <w:rsid w:val="FDDFD6F5"/>
    <w:rsid w:val="FED9719F"/>
    <w:rsid w:val="FFC1EF27"/>
    <w:rsid w:val="FFD1AD2A"/>
    <w:rsid w:val="FFFED20F"/>
    <w:rsid w:val="FFFF03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basedOn w:val="1"/>
    <w:next w:val="3"/>
    <w:qFormat/>
    <w:uiPriority w:val="0"/>
    <w:pPr>
      <w:suppressAutoHyphens w:val="0"/>
      <w:autoSpaceDE w:val="0"/>
      <w:autoSpaceDN w:val="0"/>
      <w:jc w:val="left"/>
    </w:pPr>
    <w:rPr>
      <w:rFonts w:cs="宋体"/>
      <w:color w:val="000000"/>
      <w:sz w:val="24"/>
      <w:szCs w:val="21"/>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character" w:customStyle="1" w:styleId="11">
    <w:name w:val="默认段落字体11"/>
    <w:qFormat/>
    <w:uiPriority w:val="0"/>
    <w:rPr>
      <w:sz w:val="22"/>
    </w:rPr>
  </w:style>
  <w:style w:type="paragraph" w:customStyle="1" w:styleId="12">
    <w:name w:val="正文1"/>
    <w:qFormat/>
    <w:uiPriority w:val="0"/>
    <w:pPr>
      <w:widowControl w:val="0"/>
      <w:jc w:val="both"/>
    </w:pPr>
    <w:rPr>
      <w:rFonts w:ascii="Calibri" w:hAnsi="Calibri" w:eastAsia="微软雅黑" w:cs="Times New Roman"/>
      <w:sz w:val="32"/>
      <w:lang w:val="en-US" w:eastAsia="zh-CN" w:bidi="ar-SA"/>
    </w:rPr>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18</Pages>
  <Words>3737</Words>
  <Characters>4190</Characters>
  <Lines>32</Lines>
  <Paragraphs>9</Paragraphs>
  <TotalTime>3</TotalTime>
  <ScaleCrop>false</ScaleCrop>
  <LinksUpToDate>false</LinksUpToDate>
  <CharactersWithSpaces>4219</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2014-05-22T14:41:00Z</dcterms:created>
  <dc:creator>Lenovo User</dc:creator>
  <cp:lastModifiedBy> </cp:lastModifiedBy>
  <cp:lastPrinted>2019-03-29T14:53:00Z</cp:lastPrinted>
  <dcterms:modified xsi:type="dcterms:W3CDTF">2025-03-05T15:15:24Z</dcterms:modified>
  <cp:revision>569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KSOTemplateDocerSaveRecord">
    <vt:lpwstr>eyJoZGlkIjoiMmJhZjU2YTBlNjNkOThkYzFjNzYzOWIzMzgyNzY1ZjEiLCJ1c2VySWQiOiI2OTE3MzYwMTEifQ==</vt:lpwstr>
  </property>
  <property fmtid="{D5CDD505-2E9C-101B-9397-08002B2CF9AE}" pid="4" name="ICV">
    <vt:lpwstr>065F5C529298452085B692F71FD998ED_12</vt:lpwstr>
  </property>
</Properties>
</file>