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35C" w:rsidRDefault="00A81A1C">
      <w:pPr>
        <w:snapToGrid w:val="0"/>
        <w:rPr>
          <w:rFonts w:ascii="彩虹粗仿宋" w:eastAsia="彩虹粗仿宋"/>
          <w:b/>
          <w:szCs w:val="24"/>
        </w:rPr>
      </w:pPr>
      <w:r>
        <w:rPr>
          <w:rFonts w:ascii="彩虹粗仿宋" w:eastAsia="彩虹粗仿宋"/>
          <w:noProof/>
          <w:szCs w:val="24"/>
        </w:rPr>
        <w:drawing>
          <wp:inline distT="0" distB="0" distL="0" distR="0">
            <wp:extent cx="1872615" cy="501015"/>
            <wp:effectExtent l="0" t="0" r="0" b="0"/>
            <wp:docPr id="1" name="图片 1" descr="说明: 说明: WechatIMG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说明: WechatIMG10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32" r="-845" b="21500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35C" w:rsidRDefault="003E535C">
      <w:pPr>
        <w:snapToGrid w:val="0"/>
        <w:spacing w:line="360" w:lineRule="auto"/>
        <w:rPr>
          <w:rFonts w:ascii="彩虹粗仿宋" w:eastAsia="彩虹粗仿宋"/>
          <w:b/>
          <w:sz w:val="24"/>
          <w:szCs w:val="24"/>
        </w:rPr>
      </w:pPr>
    </w:p>
    <w:p w:rsidR="003E535C" w:rsidRDefault="003E535C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3E535C" w:rsidRDefault="003E535C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3E535C" w:rsidRDefault="003E535C">
      <w:pPr>
        <w:rPr>
          <w:szCs w:val="24"/>
        </w:rPr>
      </w:pPr>
    </w:p>
    <w:p w:rsidR="003E535C" w:rsidRDefault="00A81A1C">
      <w:pPr>
        <w:spacing w:line="360" w:lineRule="auto"/>
        <w:jc w:val="center"/>
        <w:rPr>
          <w:rFonts w:ascii="彩虹小标宋" w:eastAsia="彩虹小标宋" w:hAnsi="Calibri"/>
          <w:sz w:val="44"/>
          <w:szCs w:val="24"/>
        </w:rPr>
      </w:pPr>
      <w:r>
        <w:rPr>
          <w:rFonts w:ascii="彩虹小标宋" w:eastAsia="彩虹小标宋" w:hAnsi="Calibri" w:hint="eastAsia"/>
          <w:sz w:val="44"/>
          <w:szCs w:val="24"/>
        </w:rPr>
        <w:t xml:space="preserve"> 中国农工</w:t>
      </w:r>
      <w:r w:rsidR="007F4ED0">
        <w:rPr>
          <w:rFonts w:ascii="彩虹小标宋" w:eastAsia="彩虹小标宋" w:hAnsi="Calibri" w:hint="eastAsia"/>
          <w:sz w:val="44"/>
          <w:szCs w:val="24"/>
        </w:rPr>
        <w:t>民主</w:t>
      </w:r>
      <w:r>
        <w:rPr>
          <w:rFonts w:ascii="彩虹小标宋" w:eastAsia="彩虹小标宋" w:hAnsi="Calibri" w:hint="eastAsia"/>
          <w:sz w:val="44"/>
          <w:szCs w:val="24"/>
        </w:rPr>
        <w:t>党</w:t>
      </w:r>
      <w:r w:rsidR="00A44E4E">
        <w:rPr>
          <w:rFonts w:ascii="彩虹小标宋" w:eastAsia="彩虹小标宋" w:hAnsi="Calibri" w:hint="eastAsia"/>
          <w:sz w:val="44"/>
          <w:szCs w:val="24"/>
        </w:rPr>
        <w:t>四川省</w:t>
      </w:r>
      <w:r>
        <w:rPr>
          <w:rFonts w:ascii="彩虹小标宋" w:eastAsia="彩虹小标宋" w:hAnsi="Calibri" w:hint="eastAsia"/>
          <w:sz w:val="44"/>
          <w:szCs w:val="24"/>
        </w:rPr>
        <w:t>遂宁市委员会</w:t>
      </w:r>
    </w:p>
    <w:p w:rsidR="003E535C" w:rsidRDefault="00A81A1C">
      <w:pPr>
        <w:spacing w:line="360" w:lineRule="auto"/>
        <w:jc w:val="center"/>
        <w:rPr>
          <w:rFonts w:ascii="彩虹小标宋" w:eastAsia="彩虹小标宋" w:hAnsi="Calibri"/>
          <w:sz w:val="44"/>
          <w:szCs w:val="24"/>
        </w:rPr>
      </w:pPr>
      <w:r>
        <w:rPr>
          <w:rFonts w:ascii="彩虹小标宋" w:eastAsia="彩虹小标宋" w:hAnsi="Calibri" w:hint="eastAsia"/>
          <w:sz w:val="44"/>
          <w:szCs w:val="24"/>
        </w:rPr>
        <w:t>2019年部门整体支出</w:t>
      </w:r>
    </w:p>
    <w:p w:rsidR="003E535C" w:rsidRDefault="003E535C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3E535C" w:rsidRDefault="003E535C">
      <w:pPr>
        <w:rPr>
          <w:rFonts w:eastAsia="Times New Roman"/>
          <w:szCs w:val="24"/>
        </w:rPr>
      </w:pPr>
    </w:p>
    <w:p w:rsidR="003E535C" w:rsidRDefault="00A81A1C">
      <w:pPr>
        <w:spacing w:line="360" w:lineRule="auto"/>
        <w:jc w:val="center"/>
        <w:rPr>
          <w:rFonts w:ascii="彩虹黑体" w:eastAsia="彩虹黑体" w:hAnsi="Calibri"/>
          <w:sz w:val="52"/>
          <w:szCs w:val="24"/>
        </w:rPr>
      </w:pPr>
      <w:r>
        <w:rPr>
          <w:rFonts w:ascii="彩虹黑体" w:eastAsia="彩虹黑体" w:hAnsi="Calibri" w:hint="eastAsia"/>
          <w:sz w:val="52"/>
          <w:szCs w:val="24"/>
        </w:rPr>
        <w:t>绩效评价报告</w:t>
      </w:r>
    </w:p>
    <w:p w:rsidR="003E535C" w:rsidRDefault="003E535C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3E535C" w:rsidRDefault="00A81A1C">
      <w:pPr>
        <w:ind w:firstLine="640"/>
        <w:jc w:val="center"/>
        <w:rPr>
          <w:rFonts w:ascii="彩虹黑体" w:eastAsia="彩虹黑体" w:hAnsi="Calibri"/>
          <w:sz w:val="32"/>
          <w:szCs w:val="32"/>
        </w:rPr>
      </w:pPr>
      <w:r>
        <w:rPr>
          <w:rFonts w:ascii="彩虹黑体" w:eastAsia="彩虹黑体" w:hAnsi="Calibri" w:hint="eastAsia"/>
          <w:sz w:val="32"/>
          <w:szCs w:val="32"/>
        </w:rPr>
        <w:t>项目编号：JYZX-ZX-SC-2020-0016</w:t>
      </w:r>
    </w:p>
    <w:p w:rsidR="003E535C" w:rsidRDefault="003E535C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3E535C" w:rsidRDefault="003E535C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3E535C" w:rsidRDefault="003E535C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3E535C" w:rsidRDefault="003E535C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3E535C" w:rsidRDefault="003E535C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3E535C" w:rsidRDefault="00A81A1C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委托单位：遂宁市财政局</w:t>
      </w:r>
    </w:p>
    <w:p w:rsidR="003E535C" w:rsidRDefault="003E535C"/>
    <w:p w:rsidR="003E535C" w:rsidRDefault="00A81A1C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评价对象：中国农工</w:t>
      </w:r>
      <w:r w:rsidR="007F4ED0">
        <w:rPr>
          <w:rFonts w:ascii="彩虹黑体" w:eastAsia="彩虹黑体" w:hint="eastAsia"/>
          <w:sz w:val="32"/>
        </w:rPr>
        <w:t>民主</w:t>
      </w:r>
      <w:r>
        <w:rPr>
          <w:rFonts w:ascii="彩虹黑体" w:eastAsia="彩虹黑体" w:hint="eastAsia"/>
          <w:sz w:val="32"/>
        </w:rPr>
        <w:t>党</w:t>
      </w:r>
      <w:r w:rsidR="00A44E4E">
        <w:rPr>
          <w:rFonts w:ascii="彩虹黑体" w:eastAsia="彩虹黑体" w:hint="eastAsia"/>
          <w:sz w:val="32"/>
        </w:rPr>
        <w:t>四川省</w:t>
      </w:r>
      <w:r>
        <w:rPr>
          <w:rFonts w:ascii="彩虹黑体" w:eastAsia="彩虹黑体" w:hint="eastAsia"/>
          <w:sz w:val="32"/>
        </w:rPr>
        <w:t>遂宁市委员会</w:t>
      </w:r>
    </w:p>
    <w:p w:rsidR="003E535C" w:rsidRDefault="003E535C"/>
    <w:p w:rsidR="003E535C" w:rsidRDefault="00A81A1C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评价机构：建银工程咨询有限责任公司</w:t>
      </w:r>
    </w:p>
    <w:p w:rsidR="003E535C" w:rsidRDefault="003E535C"/>
    <w:p w:rsidR="003E535C" w:rsidRDefault="00A81A1C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二零二零年十月</w:t>
      </w:r>
    </w:p>
    <w:p w:rsidR="003E535C" w:rsidRDefault="00A81A1C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  <w:r>
        <w:rPr>
          <w:rFonts w:ascii="彩虹粗仿宋" w:eastAsia="彩虹粗仿宋" w:hint="eastAsia"/>
          <w:sz w:val="24"/>
          <w:szCs w:val="24"/>
        </w:rPr>
        <w:br w:type="page"/>
      </w:r>
    </w:p>
    <w:p w:rsidR="003E535C" w:rsidRDefault="003E535C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3E535C" w:rsidRDefault="003E535C">
      <w:pPr>
        <w:pStyle w:val="1"/>
        <w:tabs>
          <w:tab w:val="right" w:leader="dot" w:pos="8306"/>
        </w:tabs>
        <w:ind w:firstLine="640"/>
        <w:jc w:val="center"/>
        <w:rPr>
          <w:rFonts w:ascii="彩虹黑体" w:eastAsia="彩虹黑体"/>
          <w:sz w:val="32"/>
          <w:szCs w:val="32"/>
        </w:rPr>
      </w:pPr>
    </w:p>
    <w:p w:rsidR="003E535C" w:rsidRDefault="003E535C">
      <w:pPr>
        <w:ind w:firstLine="560"/>
        <w:jc w:val="center"/>
        <w:rPr>
          <w:rFonts w:ascii="彩虹粗仿宋" w:eastAsia="彩虹粗仿宋"/>
          <w:szCs w:val="24"/>
        </w:rPr>
      </w:pPr>
    </w:p>
    <w:p w:rsidR="003E535C" w:rsidRDefault="003E535C">
      <w:pPr>
        <w:ind w:firstLine="560"/>
        <w:jc w:val="center"/>
        <w:rPr>
          <w:rFonts w:ascii="彩虹粗仿宋" w:eastAsia="彩虹粗仿宋"/>
          <w:szCs w:val="24"/>
        </w:rPr>
      </w:pPr>
    </w:p>
    <w:p w:rsidR="003E535C" w:rsidRDefault="003E535C">
      <w:pPr>
        <w:ind w:firstLine="560"/>
        <w:jc w:val="center"/>
        <w:rPr>
          <w:rFonts w:ascii="彩虹粗仿宋" w:eastAsia="彩虹粗仿宋"/>
          <w:szCs w:val="24"/>
        </w:rPr>
      </w:pPr>
    </w:p>
    <w:p w:rsidR="003E535C" w:rsidRDefault="003E535C">
      <w:pPr>
        <w:ind w:firstLine="560"/>
        <w:jc w:val="center"/>
        <w:rPr>
          <w:rFonts w:ascii="彩虹粗仿宋" w:eastAsia="彩虹粗仿宋"/>
          <w:szCs w:val="24"/>
        </w:rPr>
      </w:pPr>
    </w:p>
    <w:p w:rsidR="003E535C" w:rsidRDefault="00A81A1C">
      <w:pPr>
        <w:ind w:firstLine="560"/>
        <w:jc w:val="center"/>
        <w:rPr>
          <w:rFonts w:ascii="彩虹小标宋" w:eastAsia="彩虹小标宋" w:hAnsi="Calibri"/>
          <w:sz w:val="48"/>
          <w:szCs w:val="44"/>
        </w:rPr>
      </w:pPr>
      <w:r>
        <w:rPr>
          <w:rFonts w:ascii="彩虹小标宋" w:eastAsia="彩虹小标宋" w:hAnsi="Calibri" w:hint="eastAsia"/>
          <w:sz w:val="48"/>
          <w:szCs w:val="44"/>
        </w:rPr>
        <w:t>中国农工</w:t>
      </w:r>
      <w:r w:rsidR="007F4ED0">
        <w:rPr>
          <w:rFonts w:ascii="彩虹小标宋" w:eastAsia="彩虹小标宋" w:hAnsi="Calibri" w:hint="eastAsia"/>
          <w:sz w:val="48"/>
          <w:szCs w:val="44"/>
        </w:rPr>
        <w:t>民主</w:t>
      </w:r>
      <w:r>
        <w:rPr>
          <w:rFonts w:ascii="彩虹小标宋" w:eastAsia="彩虹小标宋" w:hAnsi="Calibri" w:hint="eastAsia"/>
          <w:sz w:val="48"/>
          <w:szCs w:val="44"/>
        </w:rPr>
        <w:t>党</w:t>
      </w:r>
      <w:r w:rsidR="007F4ED0">
        <w:rPr>
          <w:rFonts w:ascii="彩虹小标宋" w:eastAsia="彩虹小标宋" w:hAnsi="Calibri" w:hint="eastAsia"/>
          <w:sz w:val="48"/>
          <w:szCs w:val="44"/>
        </w:rPr>
        <w:t>四川省</w:t>
      </w:r>
      <w:r>
        <w:rPr>
          <w:rFonts w:ascii="彩虹小标宋" w:eastAsia="彩虹小标宋" w:hAnsi="Calibri" w:hint="eastAsia"/>
          <w:sz w:val="48"/>
          <w:szCs w:val="44"/>
        </w:rPr>
        <w:t>遂宁市委员会</w:t>
      </w:r>
    </w:p>
    <w:p w:rsidR="003E535C" w:rsidRDefault="00A81A1C">
      <w:pPr>
        <w:ind w:firstLine="560"/>
        <w:jc w:val="center"/>
        <w:rPr>
          <w:rFonts w:ascii="彩虹粗仿宋" w:eastAsia="彩虹粗仿宋"/>
          <w:sz w:val="22"/>
          <w:szCs w:val="24"/>
        </w:rPr>
      </w:pPr>
      <w:r>
        <w:rPr>
          <w:rFonts w:ascii="彩虹小标宋" w:eastAsia="彩虹小标宋" w:hAnsi="Calibri" w:hint="eastAsia"/>
          <w:sz w:val="48"/>
          <w:szCs w:val="44"/>
        </w:rPr>
        <w:t>2019年部门整体支出</w:t>
      </w:r>
    </w:p>
    <w:p w:rsidR="003E535C" w:rsidRDefault="003E535C">
      <w:pPr>
        <w:ind w:firstLine="560"/>
        <w:rPr>
          <w:rFonts w:ascii="彩虹粗仿宋" w:eastAsia="彩虹粗仿宋"/>
          <w:szCs w:val="24"/>
        </w:rPr>
      </w:pPr>
    </w:p>
    <w:p w:rsidR="003E535C" w:rsidRDefault="00A81A1C">
      <w:pPr>
        <w:jc w:val="center"/>
        <w:rPr>
          <w:rFonts w:ascii="彩虹黑体" w:eastAsia="彩虹黑体" w:hAnsi="Calibri"/>
          <w:sz w:val="52"/>
          <w:szCs w:val="52"/>
        </w:rPr>
      </w:pPr>
      <w:r>
        <w:rPr>
          <w:rFonts w:ascii="彩虹黑体" w:eastAsia="彩虹黑体" w:hAnsi="Calibri" w:hint="eastAsia"/>
          <w:sz w:val="52"/>
          <w:szCs w:val="52"/>
        </w:rPr>
        <w:t>绩效评价报告</w:t>
      </w:r>
    </w:p>
    <w:p w:rsidR="003E535C" w:rsidRDefault="003E535C">
      <w:pPr>
        <w:ind w:firstLine="560"/>
        <w:jc w:val="center"/>
        <w:rPr>
          <w:rFonts w:ascii="彩虹粗仿宋" w:eastAsia="彩虹粗仿宋"/>
          <w:szCs w:val="24"/>
        </w:rPr>
      </w:pPr>
    </w:p>
    <w:p w:rsidR="003E535C" w:rsidRDefault="003E535C">
      <w:pPr>
        <w:ind w:firstLine="560"/>
        <w:jc w:val="center"/>
        <w:rPr>
          <w:rFonts w:ascii="彩虹粗仿宋" w:eastAsia="彩虹粗仿宋"/>
          <w:szCs w:val="24"/>
        </w:rPr>
      </w:pPr>
    </w:p>
    <w:p w:rsidR="003E535C" w:rsidRDefault="003E535C">
      <w:pPr>
        <w:rPr>
          <w:rFonts w:ascii="彩虹粗仿宋" w:eastAsia="彩虹粗仿宋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2777"/>
        <w:gridCol w:w="2777"/>
      </w:tblGrid>
      <w:tr w:rsidR="003E535C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3E535C" w:rsidRDefault="00A81A1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评价负责人</w:t>
            </w:r>
          </w:p>
        </w:tc>
        <w:tc>
          <w:tcPr>
            <w:tcW w:w="2777" w:type="dxa"/>
            <w:vAlign w:val="center"/>
          </w:tcPr>
          <w:p w:rsidR="003E535C" w:rsidRDefault="00A81A1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方</w:t>
            </w: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浈桢</w:t>
            </w:r>
            <w:proofErr w:type="gramEnd"/>
          </w:p>
        </w:tc>
        <w:tc>
          <w:tcPr>
            <w:tcW w:w="2777" w:type="dxa"/>
            <w:vAlign w:val="center"/>
          </w:tcPr>
          <w:p w:rsidR="003E535C" w:rsidRDefault="003E535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3E535C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3E535C" w:rsidRDefault="00A81A1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审批</w:t>
            </w:r>
          </w:p>
        </w:tc>
        <w:tc>
          <w:tcPr>
            <w:tcW w:w="2777" w:type="dxa"/>
            <w:vAlign w:val="center"/>
          </w:tcPr>
          <w:p w:rsidR="003E535C" w:rsidRDefault="00A81A1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张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化生</w:t>
            </w:r>
          </w:p>
        </w:tc>
        <w:tc>
          <w:tcPr>
            <w:tcW w:w="2777" w:type="dxa"/>
            <w:vAlign w:val="center"/>
          </w:tcPr>
          <w:p w:rsidR="003E535C" w:rsidRDefault="003E535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3E535C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3E535C" w:rsidRDefault="00A81A1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审核</w:t>
            </w:r>
          </w:p>
        </w:tc>
        <w:tc>
          <w:tcPr>
            <w:tcW w:w="2777" w:type="dxa"/>
            <w:vAlign w:val="center"/>
          </w:tcPr>
          <w:p w:rsidR="003E535C" w:rsidRDefault="00A81A1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陈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晓刚</w:t>
            </w:r>
          </w:p>
        </w:tc>
        <w:tc>
          <w:tcPr>
            <w:tcW w:w="2777" w:type="dxa"/>
            <w:vAlign w:val="center"/>
          </w:tcPr>
          <w:p w:rsidR="003E535C" w:rsidRDefault="003E535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3E535C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3E535C" w:rsidRDefault="00A81A1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校核</w:t>
            </w:r>
          </w:p>
        </w:tc>
        <w:tc>
          <w:tcPr>
            <w:tcW w:w="2777" w:type="dxa"/>
            <w:vAlign w:val="center"/>
          </w:tcPr>
          <w:p w:rsidR="003E535C" w:rsidRDefault="00A81A1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李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瑞浴</w:t>
            </w:r>
            <w:proofErr w:type="gramEnd"/>
          </w:p>
        </w:tc>
        <w:tc>
          <w:tcPr>
            <w:tcW w:w="2777" w:type="dxa"/>
            <w:vAlign w:val="center"/>
          </w:tcPr>
          <w:p w:rsidR="003E535C" w:rsidRDefault="003E535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3E535C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报告撰写人</w:t>
            </w:r>
          </w:p>
        </w:tc>
        <w:tc>
          <w:tcPr>
            <w:tcW w:w="2777" w:type="dxa"/>
            <w:vAlign w:val="center"/>
          </w:tcPr>
          <w:p w:rsidR="003E535C" w:rsidRDefault="00A81A1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方</w:t>
            </w: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浈桢</w:t>
            </w:r>
            <w:proofErr w:type="gramEnd"/>
          </w:p>
        </w:tc>
        <w:tc>
          <w:tcPr>
            <w:tcW w:w="2777" w:type="dxa"/>
            <w:vAlign w:val="center"/>
          </w:tcPr>
          <w:p w:rsidR="003E535C" w:rsidRDefault="003E535C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</w:tbl>
    <w:p w:rsidR="003E535C" w:rsidRDefault="003E535C">
      <w:pPr>
        <w:ind w:firstLine="560"/>
        <w:rPr>
          <w:rFonts w:ascii="彩虹粗仿宋" w:eastAsia="彩虹粗仿宋"/>
        </w:rPr>
      </w:pPr>
    </w:p>
    <w:p w:rsidR="003E535C" w:rsidRDefault="003E535C">
      <w:pPr>
        <w:widowControl w:val="0"/>
        <w:topLinePunct/>
        <w:autoSpaceDE w:val="0"/>
        <w:spacing w:line="626" w:lineRule="exact"/>
        <w:ind w:firstLineChars="200" w:firstLine="640"/>
        <w:rPr>
          <w:rFonts w:ascii="仿宋_GB2312"/>
          <w:sz w:val="32"/>
          <w:szCs w:val="32"/>
        </w:rPr>
      </w:pPr>
    </w:p>
    <w:p w:rsidR="003E535C" w:rsidRDefault="003E535C">
      <w:pPr>
        <w:jc w:val="left"/>
        <w:rPr>
          <w:rFonts w:ascii="仿宋_GB2312"/>
          <w:sz w:val="32"/>
          <w:szCs w:val="32"/>
        </w:rPr>
        <w:sectPr w:rsidR="003E535C">
          <w:footerReference w:type="default" r:id="rId10"/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3E535C" w:rsidRDefault="00A81A1C">
      <w:pPr>
        <w:widowControl w:val="0"/>
        <w:topLinePunct/>
        <w:autoSpaceDE w:val="0"/>
        <w:spacing w:line="626" w:lineRule="exact"/>
        <w:jc w:val="center"/>
        <w:rPr>
          <w:rFonts w:ascii="彩虹黑体" w:eastAsia="彩虹黑体"/>
          <w:sz w:val="32"/>
          <w:szCs w:val="32"/>
        </w:rPr>
      </w:pPr>
      <w:r>
        <w:rPr>
          <w:rFonts w:ascii="彩虹黑体" w:eastAsia="彩虹黑体" w:hint="eastAsia"/>
          <w:sz w:val="32"/>
          <w:szCs w:val="32"/>
        </w:rPr>
        <w:lastRenderedPageBreak/>
        <w:t>目 录</w:t>
      </w:r>
    </w:p>
    <w:p w:rsidR="003E535C" w:rsidRDefault="003E535C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</w:p>
    <w:p w:rsidR="003E535C" w:rsidRDefault="00A81A1C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r>
        <w:rPr>
          <w:rFonts w:ascii="彩虹黑体" w:eastAsia="彩虹黑体" w:hint="eastAsia"/>
          <w:sz w:val="24"/>
          <w:szCs w:val="24"/>
        </w:rPr>
        <w:fldChar w:fldCharType="begin"/>
      </w:r>
      <w:r>
        <w:rPr>
          <w:rFonts w:ascii="彩虹黑体" w:eastAsia="彩虹黑体" w:hint="eastAsia"/>
          <w:sz w:val="24"/>
          <w:szCs w:val="24"/>
        </w:rPr>
        <w:instrText xml:space="preserve"> TOC \o "1-2" \h \z \u </w:instrText>
      </w:r>
      <w:r>
        <w:rPr>
          <w:rFonts w:ascii="彩虹黑体" w:eastAsia="彩虹黑体" w:hint="eastAsia"/>
          <w:sz w:val="24"/>
          <w:szCs w:val="24"/>
        </w:rPr>
        <w:fldChar w:fldCharType="separate"/>
      </w:r>
      <w:hyperlink w:anchor="_Toc55357778" w:history="1">
        <w:r>
          <w:rPr>
            <w:rStyle w:val="a7"/>
            <w:rFonts w:ascii="彩虹楷体" w:eastAsia="彩虹楷体" w:hint="eastAsia"/>
            <w:noProof/>
            <w:sz w:val="28"/>
            <w:szCs w:val="28"/>
          </w:rPr>
          <w:t>一、部门（单位）概况</w:t>
        </w:r>
        <w:r>
          <w:rPr>
            <w:noProof/>
            <w:sz w:val="28"/>
            <w:szCs w:val="28"/>
          </w:rPr>
          <w:tab/>
        </w:r>
        <w:r>
          <w:rPr>
            <w:noProof/>
            <w:sz w:val="28"/>
            <w:szCs w:val="28"/>
          </w:rPr>
          <w:fldChar w:fldCharType="begin"/>
        </w:r>
        <w:r>
          <w:rPr>
            <w:noProof/>
            <w:sz w:val="28"/>
            <w:szCs w:val="28"/>
          </w:rPr>
          <w:instrText xml:space="preserve"> PAGEREF _Toc55357778 \h </w:instrText>
        </w:r>
        <w:r>
          <w:rPr>
            <w:noProof/>
            <w:sz w:val="28"/>
            <w:szCs w:val="28"/>
          </w:rPr>
        </w:r>
        <w:r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- 1 -</w:t>
        </w:r>
        <w:r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79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（一）机构组成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_Toc55357779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- 1 -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80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（二）机构职能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_Toc55357780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- 1 -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81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（三）人员概况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_Toc55357781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- 1 -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82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二、部门财政资金收支情况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_Toc55357782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- 1 -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83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（一）部门财政资金收入情况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_Toc55357783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- 1 -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84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（二）部门财政支出情况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_Toc55357784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- 1 -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85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三、部门财政支出管理情况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_Toc55357785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- 2 -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86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（一）预算编制情况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_Toc55357786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- 2 -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87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（二）执行管理情况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_Toc55357787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- 3 -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88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（三）综合管理情况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_Toc55357788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- 4 -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89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（四）整体绩效情况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_Toc55357789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- 5 -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90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四、评价结论及建议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_Toc55357790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- 5 -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91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（一）评价结论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_Toc55357791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- 5 -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92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（二）存在问题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_Toc55357792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- 7 -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DC78A2">
      <w:pPr>
        <w:pStyle w:val="2"/>
        <w:tabs>
          <w:tab w:val="right" w:leader="dot" w:pos="9059"/>
        </w:tabs>
        <w:rPr>
          <w:rFonts w:asciiTheme="minorHAnsi" w:eastAsiaTheme="minorEastAsia" w:hAnsiTheme="minorHAnsi" w:cstheme="minorBidi"/>
          <w:noProof/>
          <w:kern w:val="2"/>
          <w:sz w:val="28"/>
          <w:szCs w:val="28"/>
        </w:rPr>
      </w:pPr>
      <w:hyperlink w:anchor="_Toc55357793" w:history="1">
        <w:r w:rsidR="00A81A1C">
          <w:rPr>
            <w:rStyle w:val="a7"/>
            <w:rFonts w:ascii="彩虹楷体" w:eastAsia="彩虹楷体" w:hint="eastAsia"/>
            <w:noProof/>
            <w:sz w:val="28"/>
            <w:szCs w:val="28"/>
          </w:rPr>
          <w:t>（三）改进建议</w:t>
        </w:r>
        <w:r w:rsidR="00A81A1C">
          <w:rPr>
            <w:noProof/>
            <w:sz w:val="28"/>
            <w:szCs w:val="28"/>
          </w:rPr>
          <w:tab/>
        </w:r>
        <w:r w:rsidR="00A81A1C">
          <w:rPr>
            <w:noProof/>
            <w:sz w:val="28"/>
            <w:szCs w:val="28"/>
          </w:rPr>
          <w:fldChar w:fldCharType="begin"/>
        </w:r>
        <w:r w:rsidR="00A81A1C">
          <w:rPr>
            <w:noProof/>
            <w:sz w:val="28"/>
            <w:szCs w:val="28"/>
          </w:rPr>
          <w:instrText xml:space="preserve"> PAGEREF _Toc55357793 \h </w:instrText>
        </w:r>
        <w:r w:rsidR="00A81A1C">
          <w:rPr>
            <w:noProof/>
            <w:sz w:val="28"/>
            <w:szCs w:val="28"/>
          </w:rPr>
        </w:r>
        <w:r w:rsidR="00A81A1C">
          <w:rPr>
            <w:noProof/>
            <w:sz w:val="28"/>
            <w:szCs w:val="28"/>
          </w:rPr>
          <w:fldChar w:fldCharType="separate"/>
        </w:r>
        <w:r w:rsidR="00911B62">
          <w:rPr>
            <w:noProof/>
            <w:sz w:val="28"/>
            <w:szCs w:val="28"/>
          </w:rPr>
          <w:t>- 7 -</w:t>
        </w:r>
        <w:r w:rsidR="00A81A1C">
          <w:rPr>
            <w:noProof/>
            <w:sz w:val="28"/>
            <w:szCs w:val="28"/>
          </w:rPr>
          <w:fldChar w:fldCharType="end"/>
        </w:r>
      </w:hyperlink>
    </w:p>
    <w:p w:rsidR="003E535C" w:rsidRDefault="00A81A1C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  <w:r>
        <w:rPr>
          <w:rFonts w:ascii="彩虹黑体" w:eastAsia="彩虹黑体" w:hint="eastAsia"/>
          <w:sz w:val="24"/>
          <w:szCs w:val="24"/>
        </w:rPr>
        <w:fldChar w:fldCharType="end"/>
      </w:r>
    </w:p>
    <w:p w:rsidR="003E535C" w:rsidRDefault="003E535C">
      <w:pPr>
        <w:jc w:val="left"/>
        <w:rPr>
          <w:rFonts w:ascii="仿宋_GB2312"/>
          <w:sz w:val="32"/>
          <w:szCs w:val="32"/>
        </w:rPr>
        <w:sectPr w:rsidR="003E535C"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A44E4E" w:rsidRDefault="00A81A1C">
      <w:pPr>
        <w:widowControl w:val="0"/>
        <w:spacing w:line="600" w:lineRule="exact"/>
        <w:jc w:val="center"/>
        <w:rPr>
          <w:rFonts w:ascii="彩虹黑体" w:eastAsia="彩虹黑体" w:hAnsi="彩虹黑体" w:cs="彩虹黑体"/>
          <w:b/>
          <w:sz w:val="32"/>
          <w:szCs w:val="32"/>
        </w:rPr>
      </w:pPr>
      <w:r>
        <w:rPr>
          <w:rFonts w:ascii="彩虹黑体" w:eastAsia="彩虹黑体" w:hAnsi="彩虹黑体" w:cs="彩虹黑体" w:hint="eastAsia"/>
          <w:b/>
          <w:sz w:val="32"/>
          <w:szCs w:val="32"/>
        </w:rPr>
        <w:lastRenderedPageBreak/>
        <w:t>中国农工</w:t>
      </w:r>
      <w:r w:rsidR="007F4ED0">
        <w:rPr>
          <w:rFonts w:ascii="彩虹黑体" w:eastAsia="彩虹黑体" w:hAnsi="彩虹黑体" w:cs="彩虹黑体" w:hint="eastAsia"/>
          <w:b/>
          <w:sz w:val="32"/>
          <w:szCs w:val="32"/>
        </w:rPr>
        <w:t>民主</w:t>
      </w:r>
      <w:r>
        <w:rPr>
          <w:rFonts w:ascii="彩虹黑体" w:eastAsia="彩虹黑体" w:hAnsi="彩虹黑体" w:cs="彩虹黑体" w:hint="eastAsia"/>
          <w:b/>
          <w:sz w:val="32"/>
          <w:szCs w:val="32"/>
        </w:rPr>
        <w:t>党</w:t>
      </w:r>
      <w:r w:rsidR="00A44E4E">
        <w:rPr>
          <w:rFonts w:ascii="彩虹黑体" w:eastAsia="彩虹黑体" w:hAnsi="彩虹黑体" w:cs="彩虹黑体" w:hint="eastAsia"/>
          <w:b/>
          <w:sz w:val="32"/>
          <w:szCs w:val="32"/>
        </w:rPr>
        <w:t>四川省</w:t>
      </w:r>
      <w:r>
        <w:rPr>
          <w:rFonts w:ascii="彩虹黑体" w:eastAsia="彩虹黑体" w:hAnsi="彩虹黑体" w:cs="彩虹黑体" w:hint="eastAsia"/>
          <w:b/>
          <w:sz w:val="32"/>
          <w:szCs w:val="32"/>
        </w:rPr>
        <w:t>遂宁市委员会2019年部门整体支出</w:t>
      </w:r>
    </w:p>
    <w:p w:rsidR="003E535C" w:rsidRDefault="00A81A1C" w:rsidP="00A44E4E">
      <w:pPr>
        <w:widowControl w:val="0"/>
        <w:spacing w:line="600" w:lineRule="exact"/>
        <w:jc w:val="center"/>
        <w:rPr>
          <w:rFonts w:ascii="彩虹黑体" w:eastAsia="彩虹黑体" w:hAnsi="彩虹黑体" w:cs="彩虹黑体"/>
          <w:b/>
          <w:sz w:val="32"/>
          <w:szCs w:val="32"/>
        </w:rPr>
      </w:pPr>
      <w:r>
        <w:rPr>
          <w:rFonts w:ascii="彩虹黑体" w:eastAsia="彩虹黑体" w:hAnsi="彩虹黑体" w:cs="彩虹黑体" w:hint="eastAsia"/>
          <w:b/>
          <w:sz w:val="32"/>
          <w:szCs w:val="32"/>
        </w:rPr>
        <w:t>绩效评价报告</w:t>
      </w:r>
    </w:p>
    <w:p w:rsidR="003E535C" w:rsidRDefault="003E535C">
      <w:pPr>
        <w:widowControl w:val="0"/>
        <w:spacing w:line="600" w:lineRule="exact"/>
        <w:jc w:val="center"/>
        <w:rPr>
          <w:rFonts w:ascii="彩虹黑体" w:eastAsia="彩虹黑体" w:hAnsi="彩虹黑体" w:cs="彩虹黑体"/>
          <w:b/>
          <w:sz w:val="32"/>
          <w:szCs w:val="32"/>
        </w:rPr>
      </w:pPr>
    </w:p>
    <w:p w:rsidR="003E535C" w:rsidRDefault="00A81A1C">
      <w:pPr>
        <w:widowControl w:val="0"/>
        <w:topLinePunct/>
        <w:autoSpaceDE w:val="0"/>
        <w:spacing w:line="626" w:lineRule="exact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根据《遂宁市财政局关于开展2020年财政绩效评价工作的通知》（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遂财绩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〔2020〕12号）要求，建银工程咨询有限责任公司接受遂宁市财政局的委托，于2020年7月下旬开始对遂宁市本级财政支出进行绩效评价工作。根据工作要求，咨询公司和遂宁市财政局相关人员成立了评价工作组，对部门整体支出情况进行评价。</w:t>
      </w:r>
    </w:p>
    <w:p w:rsidR="003E535C" w:rsidRDefault="00A81A1C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0" w:name="_Toc52740701"/>
      <w:bookmarkStart w:id="1" w:name="_Toc55357778"/>
      <w:r>
        <w:rPr>
          <w:rFonts w:ascii="彩虹楷体" w:eastAsia="彩虹楷体" w:hint="eastAsia"/>
          <w:sz w:val="28"/>
        </w:rPr>
        <w:t>一、部门（单位）概况</w:t>
      </w:r>
      <w:bookmarkEnd w:id="0"/>
      <w:bookmarkEnd w:id="1"/>
    </w:p>
    <w:p w:rsidR="003E535C" w:rsidRDefault="00A81A1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2" w:name="_Toc55357779"/>
      <w:r>
        <w:rPr>
          <w:rFonts w:ascii="彩虹楷体" w:eastAsia="彩虹楷体" w:hint="eastAsia"/>
        </w:rPr>
        <w:t>（一）机构组成</w:t>
      </w:r>
      <w:bookmarkEnd w:id="2"/>
    </w:p>
    <w:p w:rsidR="003E535C" w:rsidRDefault="007F4ED0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/>
          <w:sz w:val="24"/>
          <w:szCs w:val="24"/>
        </w:rPr>
        <w:t>中国</w:t>
      </w:r>
      <w:r w:rsidR="00A81A1C">
        <w:rPr>
          <w:rFonts w:ascii="彩虹粗仿宋" w:eastAsia="彩虹粗仿宋" w:hAnsi="彩虹粗仿宋" w:cs="彩虹粗仿宋"/>
          <w:sz w:val="24"/>
          <w:szCs w:val="24"/>
        </w:rPr>
        <w:t>农工</w:t>
      </w:r>
      <w:r>
        <w:rPr>
          <w:rFonts w:ascii="彩虹粗仿宋" w:eastAsia="彩虹粗仿宋" w:hAnsi="彩虹粗仿宋" w:cs="彩虹粗仿宋"/>
          <w:sz w:val="24"/>
          <w:szCs w:val="24"/>
        </w:rPr>
        <w:t>民主</w:t>
      </w:r>
      <w:r w:rsidR="00A81A1C">
        <w:rPr>
          <w:rFonts w:ascii="彩虹粗仿宋" w:eastAsia="彩虹粗仿宋" w:hAnsi="彩虹粗仿宋" w:cs="彩虹粗仿宋"/>
          <w:sz w:val="24"/>
          <w:szCs w:val="24"/>
        </w:rPr>
        <w:t>党</w:t>
      </w:r>
      <w:r>
        <w:rPr>
          <w:rFonts w:ascii="彩虹粗仿宋" w:eastAsia="彩虹粗仿宋" w:hAnsi="彩虹粗仿宋" w:cs="彩虹粗仿宋"/>
          <w:sz w:val="24"/>
          <w:szCs w:val="24"/>
        </w:rPr>
        <w:t>四川省</w:t>
      </w:r>
      <w:r w:rsidR="00A81A1C">
        <w:rPr>
          <w:rFonts w:ascii="彩虹粗仿宋" w:eastAsia="彩虹粗仿宋" w:hAnsi="彩虹粗仿宋" w:cs="彩虹粗仿宋"/>
          <w:sz w:val="24"/>
          <w:szCs w:val="24"/>
        </w:rPr>
        <w:t>遂宁市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委员会（以下简称“农工党遂宁市委”）</w:t>
      </w:r>
      <w:r w:rsidR="00A81A1C">
        <w:rPr>
          <w:rFonts w:ascii="彩虹粗仿宋" w:eastAsia="彩虹粗仿宋" w:hAnsi="彩虹粗仿宋" w:cs="彩虹粗仿宋"/>
          <w:sz w:val="24"/>
          <w:szCs w:val="24"/>
        </w:rPr>
        <w:t>无下属二级预算单位</w:t>
      </w:r>
      <w:r w:rsidR="00A81A1C">
        <w:rPr>
          <w:rFonts w:ascii="彩虹粗仿宋" w:eastAsia="彩虹粗仿宋" w:hAnsi="彩虹粗仿宋" w:cs="彩虹粗仿宋" w:hint="eastAsia"/>
          <w:sz w:val="24"/>
          <w:szCs w:val="24"/>
        </w:rPr>
        <w:t>，机关有2个内设科室：办公室、宣传调研参政议政科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。</w:t>
      </w:r>
    </w:p>
    <w:p w:rsidR="003E535C" w:rsidRDefault="00A81A1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3" w:name="_Toc55357780"/>
      <w:r>
        <w:rPr>
          <w:rFonts w:ascii="彩虹楷体" w:eastAsia="彩虹楷体" w:hint="eastAsia"/>
        </w:rPr>
        <w:t>（二）机构职能</w:t>
      </w:r>
      <w:bookmarkEnd w:id="3"/>
    </w:p>
    <w:p w:rsidR="003E535C" w:rsidRDefault="00A81A1C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8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主要职能是履行参政议政、民主监督、建言献策、社会服务，积极参加中国共产党领导的政治协商，为遂宁的经济发展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作出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应有贡献。</w:t>
      </w:r>
    </w:p>
    <w:p w:rsidR="003E535C" w:rsidRDefault="00A81A1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4" w:name="_Toc55357781"/>
      <w:r>
        <w:rPr>
          <w:rFonts w:ascii="彩虹楷体" w:eastAsia="彩虹楷体" w:hint="eastAsia"/>
        </w:rPr>
        <w:t>（三）人员概况</w:t>
      </w:r>
      <w:bookmarkEnd w:id="4"/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/>
          <w:sz w:val="24"/>
          <w:szCs w:val="32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现有编制人员4</w:t>
      </w:r>
      <w:r w:rsidR="007F4ED0">
        <w:rPr>
          <w:rFonts w:ascii="彩虹粗仿宋" w:eastAsia="彩虹粗仿宋" w:hAnsi="彩虹粗仿宋" w:cs="彩虹粗仿宋" w:hint="eastAsia"/>
          <w:sz w:val="24"/>
          <w:szCs w:val="24"/>
        </w:rPr>
        <w:t>人，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均为行政编制。</w:t>
      </w:r>
    </w:p>
    <w:p w:rsidR="003E535C" w:rsidRDefault="00A81A1C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5" w:name="_Toc52740702"/>
      <w:bookmarkStart w:id="6" w:name="_Toc55357782"/>
      <w:r>
        <w:rPr>
          <w:rFonts w:ascii="彩虹楷体" w:eastAsia="彩虹楷体" w:hint="eastAsia"/>
          <w:sz w:val="28"/>
        </w:rPr>
        <w:t>二、部门财政资金收支情况</w:t>
      </w:r>
      <w:bookmarkEnd w:id="5"/>
      <w:bookmarkEnd w:id="6"/>
    </w:p>
    <w:p w:rsidR="003E535C" w:rsidRDefault="00A81A1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7" w:name="_Toc55357783"/>
      <w:r>
        <w:rPr>
          <w:rFonts w:ascii="彩虹楷体" w:eastAsia="彩虹楷体" w:hint="eastAsia"/>
        </w:rPr>
        <w:t>（一）部门财政资金收入情况</w:t>
      </w:r>
      <w:bookmarkEnd w:id="7"/>
    </w:p>
    <w:p w:rsidR="003E535C" w:rsidRDefault="00A81A1C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 w:rsidR="007F4ED0">
        <w:rPr>
          <w:rFonts w:ascii="彩虹粗仿宋" w:eastAsia="彩虹粗仿宋" w:hAnsi="彩虹粗仿宋" w:cs="彩虹粗仿宋" w:hint="eastAsia"/>
          <w:sz w:val="24"/>
          <w:szCs w:val="24"/>
        </w:rPr>
        <w:t>农工党遂宁市委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年初收入总预算数为89.48万元，其中财政拨款收入年初预算89.48万元，年初财政拨款结转和结余0万元。年末收入总决算数为74.33万元，其中财政拨款收入决算为72.81万元，财政拨款结转和结余1.5</w:t>
      </w:r>
      <w:r w:rsidR="00D4324E">
        <w:rPr>
          <w:rFonts w:ascii="彩虹粗仿宋" w:eastAsia="彩虹粗仿宋" w:hAnsi="彩虹粗仿宋" w:cs="彩虹粗仿宋" w:hint="eastAsia"/>
          <w:bCs/>
          <w:sz w:val="24"/>
          <w:szCs w:val="24"/>
        </w:rPr>
        <w:t>2万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元。</w:t>
      </w:r>
    </w:p>
    <w:p w:rsidR="003E535C" w:rsidRDefault="00A81A1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8" w:name="_Toc55357784"/>
      <w:r>
        <w:rPr>
          <w:rFonts w:ascii="彩虹楷体" w:eastAsia="彩虹楷体" w:hint="eastAsia"/>
        </w:rPr>
        <w:t>（二）部门财政支出情况</w:t>
      </w:r>
      <w:bookmarkEnd w:id="8"/>
    </w:p>
    <w:p w:rsidR="003E535C" w:rsidRDefault="00A81A1C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 w:rsidR="007F4ED0">
        <w:rPr>
          <w:rFonts w:ascii="彩虹粗仿宋" w:eastAsia="彩虹粗仿宋" w:hAnsi="彩虹粗仿宋" w:cs="彩虹粗仿宋" w:hint="eastAsia"/>
          <w:sz w:val="24"/>
          <w:szCs w:val="24"/>
        </w:rPr>
        <w:t>农工党遂宁市委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年初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支出总预算数为89.48万元，其中基本支出55.06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lastRenderedPageBreak/>
        <w:t>万元（包括人员经费45.99万元、日常公用经费9.07万元），项目支出34.42万元；年末支出决算数为74.33万元，其中：基本支出60.84万元（包括人员经费53.42万元、日常公用经费7.42万元），项目支出11.93万元，年末财政拨款结转和结余1.56万元。</w:t>
      </w:r>
    </w:p>
    <w:p w:rsidR="003E535C" w:rsidRDefault="00A81A1C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9" w:name="_Toc55357785"/>
      <w:r>
        <w:rPr>
          <w:rFonts w:ascii="彩虹楷体" w:eastAsia="彩虹楷体" w:hint="eastAsia"/>
          <w:sz w:val="28"/>
        </w:rPr>
        <w:t>三、部门财政支出管理情况</w:t>
      </w:r>
      <w:bookmarkEnd w:id="9"/>
    </w:p>
    <w:p w:rsidR="003E535C" w:rsidRDefault="00A81A1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0" w:name="_Toc55357786"/>
      <w:r>
        <w:rPr>
          <w:rFonts w:ascii="彩虹楷体" w:eastAsia="彩虹楷体" w:hint="eastAsia"/>
        </w:rPr>
        <w:t>（一）预算编制情况</w:t>
      </w:r>
      <w:bookmarkEnd w:id="10"/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1.预算编制质量</w:t>
      </w:r>
    </w:p>
    <w:p w:rsidR="007F4ED0" w:rsidRDefault="00A81A1C">
      <w:pPr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表3.1 2019年调整预算收入情况</w:t>
      </w:r>
    </w:p>
    <w:p w:rsidR="003E535C" w:rsidRDefault="007F4ED0">
      <w:pPr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  </w:t>
      </w:r>
      <w:r w:rsidR="00A81A1C">
        <w:rPr>
          <w:rFonts w:ascii="彩虹粗仿宋" w:eastAsia="彩虹粗仿宋" w:hAnsi="彩虹粗仿宋" w:cs="彩虹粗仿宋" w:hint="eastAsia"/>
          <w:b/>
          <w:bCs/>
        </w:rPr>
        <w:t>单位：万元</w:t>
      </w:r>
    </w:p>
    <w:tbl>
      <w:tblPr>
        <w:tblW w:w="9135" w:type="dxa"/>
        <w:tblInd w:w="93" w:type="dxa"/>
        <w:tblLook w:val="04A0" w:firstRow="1" w:lastRow="0" w:firstColumn="1" w:lastColumn="0" w:noHBand="0" w:noVBand="1"/>
      </w:tblPr>
      <w:tblGrid>
        <w:gridCol w:w="1211"/>
        <w:gridCol w:w="1238"/>
        <w:gridCol w:w="1293"/>
        <w:gridCol w:w="1376"/>
        <w:gridCol w:w="1458"/>
        <w:gridCol w:w="1348"/>
        <w:gridCol w:w="1211"/>
      </w:tblGrid>
      <w:tr w:rsidR="003E535C">
        <w:trPr>
          <w:trHeight w:val="680"/>
        </w:trPr>
        <w:tc>
          <w:tcPr>
            <w:tcW w:w="3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年初预算数</w:t>
            </w:r>
          </w:p>
        </w:tc>
        <w:tc>
          <w:tcPr>
            <w:tcW w:w="4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调整预算数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预算收入调整比例</w:t>
            </w:r>
          </w:p>
        </w:tc>
      </w:tr>
      <w:tr w:rsidR="003E535C">
        <w:trPr>
          <w:trHeight w:val="618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财政拨款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结转和结余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财政拨款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结转和结余</w:t>
            </w: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3E535C">
        <w:trPr>
          <w:trHeight w:val="689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89.48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89.48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74.33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72.81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1.52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-16.93%</w:t>
            </w:r>
          </w:p>
        </w:tc>
      </w:tr>
    </w:tbl>
    <w:p w:rsidR="003E535C" w:rsidRDefault="003E535C">
      <w:pPr>
        <w:spacing w:line="360" w:lineRule="auto"/>
        <w:rPr>
          <w:rFonts w:ascii="彩虹粗仿宋" w:eastAsia="彩虹粗仿宋" w:hAnsi="彩虹粗仿宋" w:cs="彩虹粗仿宋"/>
          <w:sz w:val="24"/>
          <w:szCs w:val="24"/>
        </w:rPr>
      </w:pPr>
    </w:p>
    <w:p w:rsidR="007F4ED0" w:rsidRDefault="00A81A1C">
      <w:pPr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表3.2 2019年调整预算支出情况</w:t>
      </w:r>
    </w:p>
    <w:p w:rsidR="003E535C" w:rsidRDefault="007F4ED0">
      <w:pPr>
        <w:spacing w:line="360" w:lineRule="auto"/>
        <w:jc w:val="center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     </w:t>
      </w:r>
      <w:r w:rsidR="00A81A1C">
        <w:rPr>
          <w:rFonts w:ascii="彩虹粗仿宋" w:eastAsia="彩虹粗仿宋" w:hAnsi="彩虹粗仿宋" w:cs="彩虹粗仿宋" w:hint="eastAsia"/>
          <w:b/>
          <w:bCs/>
        </w:rPr>
        <w:t>单位：万元</w:t>
      </w:r>
    </w:p>
    <w:tbl>
      <w:tblPr>
        <w:tblW w:w="9155" w:type="dxa"/>
        <w:tblInd w:w="93" w:type="dxa"/>
        <w:tblLook w:val="04A0" w:firstRow="1" w:lastRow="0" w:firstColumn="1" w:lastColumn="0" w:noHBand="0" w:noVBand="1"/>
      </w:tblPr>
      <w:tblGrid>
        <w:gridCol w:w="823"/>
        <w:gridCol w:w="824"/>
        <w:gridCol w:w="823"/>
        <w:gridCol w:w="757"/>
        <w:gridCol w:w="858"/>
        <w:gridCol w:w="876"/>
        <w:gridCol w:w="823"/>
        <w:gridCol w:w="823"/>
        <w:gridCol w:w="739"/>
        <w:gridCol w:w="858"/>
        <w:gridCol w:w="951"/>
      </w:tblGrid>
      <w:tr w:rsidR="003E535C">
        <w:trPr>
          <w:trHeight w:val="458"/>
        </w:trPr>
        <w:tc>
          <w:tcPr>
            <w:tcW w:w="4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年初预算数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调整预算数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预算支出调整比例</w:t>
            </w:r>
          </w:p>
        </w:tc>
      </w:tr>
      <w:tr w:rsidR="003E535C">
        <w:trPr>
          <w:trHeight w:val="280"/>
        </w:trPr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基本支出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项目支出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基本支出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项目支出</w:t>
            </w: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3E535C">
        <w:trPr>
          <w:trHeight w:val="466"/>
        </w:trPr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人员经费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日常公用经费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人员经费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日常公用经费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3E535C">
        <w:trPr>
          <w:trHeight w:val="808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89.48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55.06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45.99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9.07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34.42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74.33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62.40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54.98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7.42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11.93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-16.93%</w:t>
            </w:r>
          </w:p>
        </w:tc>
      </w:tr>
    </w:tbl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农工党遂宁市委预算编制准确性有待提高，预算精细化度不够，项目支出决算表明细不全。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2.绩效目标填报</w:t>
      </w:r>
    </w:p>
    <w:p w:rsidR="003E535C" w:rsidRDefault="00A81A1C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2019年初，农工党遂宁市委提交了《部门（单位）整体支出绩效目标申报表》，市财政局给予了批复。绩效目标填报符合机构职能及绩效目标编制要求，项目支出主要为党派成员活动。现场评价未发现基本支出和项目支出混用的情况。</w:t>
      </w:r>
    </w:p>
    <w:p w:rsidR="003E535C" w:rsidRDefault="00A81A1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1" w:name="_Toc55357787"/>
      <w:r>
        <w:rPr>
          <w:rFonts w:ascii="彩虹楷体" w:eastAsia="彩虹楷体" w:hint="eastAsia"/>
        </w:rPr>
        <w:lastRenderedPageBreak/>
        <w:t>（二）执行管理情况</w:t>
      </w:r>
      <w:bookmarkEnd w:id="11"/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1.预算执行进度情况</w:t>
      </w:r>
    </w:p>
    <w:p w:rsidR="003E535C" w:rsidRDefault="00A81A1C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农工党遂宁市委年初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支出总预算数为89.48万元，预算调整预算数74.33万元，年</w:t>
      </w:r>
      <w:proofErr w:type="gramStart"/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末决</w:t>
      </w:r>
      <w:proofErr w:type="gramEnd"/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算</w:t>
      </w:r>
      <w:r w:rsidR="0074425A">
        <w:rPr>
          <w:rFonts w:ascii="彩虹粗仿宋" w:eastAsia="彩虹粗仿宋" w:hAnsi="彩虹粗仿宋" w:cs="彩虹粗仿宋" w:hint="eastAsia"/>
          <w:bCs/>
          <w:sz w:val="24"/>
          <w:szCs w:val="24"/>
        </w:rPr>
        <w:t>支出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数为72.77万元，年末结转和结余1.56万元，部门预算执行比例97.90%。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2.中期评估</w:t>
      </w:r>
    </w:p>
    <w:p w:rsidR="003E535C" w:rsidRDefault="00A81A1C">
      <w:pPr>
        <w:spacing w:line="360" w:lineRule="auto"/>
        <w:ind w:firstLine="480"/>
        <w:rPr>
          <w:rFonts w:ascii="彩虹粗仿宋" w:eastAsia="彩虹粗仿宋"/>
          <w:sz w:val="24"/>
          <w:szCs w:val="24"/>
        </w:rPr>
      </w:pPr>
      <w:r>
        <w:rPr>
          <w:rFonts w:ascii="彩虹粗仿宋" w:eastAsia="彩虹粗仿宋" w:hint="eastAsia"/>
          <w:sz w:val="24"/>
          <w:szCs w:val="24"/>
        </w:rPr>
        <w:t>2019年度，农工党遂宁市委市直党派成员活动经费预算数24万元，</w:t>
      </w:r>
      <w:r w:rsidR="007F4ED0">
        <w:rPr>
          <w:rFonts w:ascii="彩虹粗仿宋" w:eastAsia="彩虹粗仿宋" w:hint="eastAsia"/>
          <w:sz w:val="24"/>
          <w:szCs w:val="24"/>
        </w:rPr>
        <w:t>1—</w:t>
      </w:r>
      <w:r>
        <w:rPr>
          <w:rFonts w:ascii="彩虹粗仿宋" w:eastAsia="彩虹粗仿宋" w:hint="eastAsia"/>
          <w:sz w:val="24"/>
          <w:szCs w:val="24"/>
        </w:rPr>
        <w:t>7月应执行数12万元，1-7月实际执行数9.59万元，执行比例79.92%。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3.节能降耗及“三公”经费预算执行情况</w:t>
      </w:r>
    </w:p>
    <w:p w:rsidR="007F4ED0" w:rsidRDefault="00A81A1C" w:rsidP="007F4ED0">
      <w:pPr>
        <w:spacing w:line="360" w:lineRule="auto"/>
        <w:ind w:firstLineChars="993" w:firstLine="2093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表3.3 </w:t>
      </w:r>
      <w:r w:rsidR="007F4ED0">
        <w:rPr>
          <w:rFonts w:ascii="彩虹粗仿宋" w:eastAsia="彩虹粗仿宋" w:hAnsi="彩虹粗仿宋" w:cs="彩虹粗仿宋" w:hint="eastAsia"/>
          <w:b/>
          <w:bCs/>
        </w:rPr>
        <w:t xml:space="preserve">   </w:t>
      </w:r>
      <w:r>
        <w:rPr>
          <w:rFonts w:ascii="彩虹粗仿宋" w:eastAsia="彩虹粗仿宋" w:hAnsi="彩虹粗仿宋" w:cs="彩虹粗仿宋" w:hint="eastAsia"/>
          <w:b/>
        </w:rPr>
        <w:t>办公费、印刷费等费用预决算偏差程度</w:t>
      </w:r>
      <w:r w:rsidR="007F4ED0">
        <w:rPr>
          <w:rFonts w:ascii="彩虹粗仿宋" w:eastAsia="彩虹粗仿宋" w:hAnsi="彩虹粗仿宋" w:cs="彩虹粗仿宋" w:hint="eastAsia"/>
          <w:b/>
          <w:bCs/>
        </w:rPr>
        <w:t xml:space="preserve">   </w:t>
      </w:r>
    </w:p>
    <w:p w:rsidR="003E535C" w:rsidRDefault="007F4ED0">
      <w:pPr>
        <w:spacing w:line="360" w:lineRule="auto"/>
        <w:jc w:val="center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    </w:t>
      </w:r>
      <w:r w:rsidR="00A81A1C">
        <w:rPr>
          <w:rFonts w:ascii="彩虹粗仿宋" w:eastAsia="彩虹粗仿宋" w:hAnsi="彩虹粗仿宋" w:cs="彩虹粗仿宋" w:hint="eastAsia"/>
          <w:b/>
          <w:bCs/>
        </w:rPr>
        <w:t>单位：万元</w:t>
      </w:r>
    </w:p>
    <w:tbl>
      <w:tblPr>
        <w:tblW w:w="9176" w:type="dxa"/>
        <w:tblInd w:w="93" w:type="dxa"/>
        <w:tblLook w:val="04A0" w:firstRow="1" w:lastRow="0" w:firstColumn="1" w:lastColumn="0" w:noHBand="0" w:noVBand="1"/>
      </w:tblPr>
      <w:tblGrid>
        <w:gridCol w:w="2294"/>
        <w:gridCol w:w="2294"/>
        <w:gridCol w:w="2294"/>
        <w:gridCol w:w="2294"/>
      </w:tblGrid>
      <w:tr w:rsidR="003E535C">
        <w:trPr>
          <w:trHeight w:val="364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费用项目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决算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预算执行进度</w:t>
            </w:r>
          </w:p>
        </w:tc>
      </w:tr>
      <w:tr w:rsidR="003E535C">
        <w:trPr>
          <w:trHeight w:val="364"/>
        </w:trPr>
        <w:tc>
          <w:tcPr>
            <w:tcW w:w="2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办公费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 w:rsidP="00172456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0.75</w:t>
            </w:r>
            <w:r w:rsidR="00172456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172456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172456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C47229" w:rsidP="001A7F8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0.8</w:t>
            </w:r>
            <w:r w:rsidR="00882222">
              <w:rPr>
                <w:rFonts w:ascii="彩虹粗仿宋" w:eastAsia="彩虹粗仿宋" w:hAnsi="宋体" w:cs="宋体" w:hint="eastAsia"/>
                <w:color w:val="000000"/>
              </w:rPr>
              <w:t>6</w:t>
            </w:r>
            <w:r w:rsidR="00052D41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052D41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052D41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C47229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114.19</w:t>
            </w:r>
            <w:r w:rsidR="00A81A1C">
              <w:rPr>
                <w:rFonts w:ascii="彩虹粗仿宋" w:eastAsia="彩虹粗仿宋" w:hAnsi="宋体" w:cs="宋体" w:hint="eastAsia"/>
                <w:color w:val="000000"/>
              </w:rPr>
              <w:t>%</w:t>
            </w:r>
          </w:p>
        </w:tc>
      </w:tr>
      <w:tr w:rsidR="003E535C">
        <w:trPr>
          <w:trHeight w:val="364"/>
        </w:trPr>
        <w:tc>
          <w:tcPr>
            <w:tcW w:w="2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印刷费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511D8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</w:tr>
      <w:tr w:rsidR="003E535C">
        <w:trPr>
          <w:trHeight w:val="364"/>
        </w:trPr>
        <w:tc>
          <w:tcPr>
            <w:tcW w:w="2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水费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511D8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</w:tr>
      <w:tr w:rsidR="003E535C">
        <w:trPr>
          <w:trHeight w:val="364"/>
        </w:trPr>
        <w:tc>
          <w:tcPr>
            <w:tcW w:w="2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电费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511D8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</w:tr>
      <w:tr w:rsidR="003E535C">
        <w:trPr>
          <w:trHeight w:val="364"/>
        </w:trPr>
        <w:tc>
          <w:tcPr>
            <w:tcW w:w="2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物业管理费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1.00 </w:t>
            </w:r>
            <w:r w:rsidR="00E574A8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E574A8">
              <w:rPr>
                <w:rFonts w:ascii="彩虹粗仿宋" w:eastAsia="彩虹粗仿宋" w:hAnsi="宋体" w:cs="宋体" w:hint="eastAsia"/>
                <w:color w:val="000000"/>
              </w:rPr>
              <w:t>项目</w:t>
            </w:r>
            <w:r w:rsidR="00E574A8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0.22 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21.72%</w:t>
            </w:r>
          </w:p>
        </w:tc>
      </w:tr>
      <w:tr w:rsidR="003E535C">
        <w:trPr>
          <w:trHeight w:val="364"/>
        </w:trPr>
        <w:tc>
          <w:tcPr>
            <w:tcW w:w="2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1.75 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3925C6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1.07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1A7F8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61.35</w:t>
            </w:r>
            <w:r w:rsidR="00A81A1C">
              <w:rPr>
                <w:rFonts w:ascii="彩虹粗仿宋" w:eastAsia="彩虹粗仿宋" w:hAnsi="宋体" w:cs="宋体" w:hint="eastAsia"/>
                <w:color w:val="000000"/>
              </w:rPr>
              <w:t>%</w:t>
            </w:r>
          </w:p>
        </w:tc>
      </w:tr>
      <w:tr w:rsidR="003E535C">
        <w:trPr>
          <w:trHeight w:val="364"/>
        </w:trPr>
        <w:tc>
          <w:tcPr>
            <w:tcW w:w="2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预决算偏差</w:t>
            </w:r>
          </w:p>
        </w:tc>
        <w:tc>
          <w:tcPr>
            <w:tcW w:w="6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535C" w:rsidRDefault="008439C0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38.65</w:t>
            </w:r>
            <w:r w:rsidR="00A81A1C">
              <w:rPr>
                <w:rFonts w:ascii="彩虹粗仿宋" w:eastAsia="彩虹粗仿宋" w:hAnsi="宋体" w:cs="宋体" w:hint="eastAsia"/>
                <w:color w:val="000000"/>
              </w:rPr>
              <w:t>%</w:t>
            </w:r>
          </w:p>
        </w:tc>
      </w:tr>
    </w:tbl>
    <w:p w:rsidR="003E535C" w:rsidRDefault="00435239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见</w:t>
      </w:r>
      <w:r w:rsidR="00A81A1C">
        <w:rPr>
          <w:rFonts w:ascii="彩虹粗仿宋" w:eastAsia="彩虹粗仿宋" w:hAnsi="彩虹粗仿宋" w:cs="彩虹粗仿宋" w:hint="eastAsia"/>
          <w:sz w:val="24"/>
          <w:szCs w:val="24"/>
        </w:rPr>
        <w:t>表3.3</w:t>
      </w:r>
      <w:r w:rsidR="000961FE">
        <w:rPr>
          <w:rFonts w:ascii="彩虹粗仿宋" w:eastAsia="彩虹粗仿宋" w:hAnsi="彩虹粗仿宋" w:cs="彩虹粗仿宋" w:hint="eastAsia"/>
          <w:sz w:val="24"/>
          <w:szCs w:val="24"/>
        </w:rPr>
        <w:t>，节能降耗涉及</w:t>
      </w:r>
      <w:r w:rsidR="00A81A1C">
        <w:rPr>
          <w:rFonts w:ascii="彩虹粗仿宋" w:eastAsia="彩虹粗仿宋" w:hAnsi="彩虹粗仿宋" w:cs="彩虹粗仿宋" w:hint="eastAsia"/>
          <w:sz w:val="24"/>
          <w:szCs w:val="24"/>
        </w:rPr>
        <w:t>水费和电费的费用控制，</w:t>
      </w:r>
      <w:r w:rsidR="00A81A1C">
        <w:rPr>
          <w:rFonts w:ascii="彩虹粗仿宋" w:eastAsia="彩虹粗仿宋" w:hint="eastAsia"/>
          <w:sz w:val="24"/>
          <w:szCs w:val="24"/>
        </w:rPr>
        <w:t>农工党遂宁市委</w:t>
      </w:r>
      <w:r w:rsidR="000961FE">
        <w:rPr>
          <w:rFonts w:ascii="彩虹粗仿宋" w:eastAsia="彩虹粗仿宋" w:hAnsi="彩虹粗仿宋" w:cs="彩虹粗仿宋" w:hint="eastAsia"/>
          <w:sz w:val="24"/>
          <w:szCs w:val="24"/>
        </w:rPr>
        <w:t>水费和电费的2018年决算数、2019年预算数和2019年决算数都为0，因此，不对该部门整体进行节能降耗的绩效评价。</w:t>
      </w:r>
    </w:p>
    <w:p w:rsidR="0043164E" w:rsidRDefault="0043164E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43164E" w:rsidRDefault="0043164E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43164E" w:rsidRDefault="0043164E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43164E" w:rsidRDefault="0043164E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43164E" w:rsidRDefault="0043164E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7F4ED0" w:rsidRPr="007F4ED0" w:rsidRDefault="007F4ED0" w:rsidP="007F4ED0">
      <w:pPr>
        <w:spacing w:line="360" w:lineRule="auto"/>
        <w:ind w:firstLineChars="1289" w:firstLine="2717"/>
        <w:rPr>
          <w:rFonts w:ascii="彩虹粗仿宋" w:eastAsia="彩虹粗仿宋" w:hAnsi="彩虹粗仿宋" w:cs="彩虹粗仿宋"/>
          <w:b/>
        </w:rPr>
      </w:pPr>
      <w:r w:rsidRPr="007F4ED0">
        <w:rPr>
          <w:rFonts w:ascii="彩虹粗仿宋" w:eastAsia="彩虹粗仿宋" w:hAnsi="彩虹粗仿宋" w:cs="彩虹粗仿宋" w:hint="eastAsia"/>
          <w:b/>
        </w:rPr>
        <w:lastRenderedPageBreak/>
        <w:t>表3.4    “三公”经费预算执行情况</w:t>
      </w:r>
    </w:p>
    <w:p w:rsidR="007F4ED0" w:rsidRPr="007F4ED0" w:rsidRDefault="007F4ED0" w:rsidP="007F4ED0">
      <w:pPr>
        <w:spacing w:line="360" w:lineRule="auto"/>
        <w:ind w:firstLineChars="3686" w:firstLine="7771"/>
        <w:rPr>
          <w:rFonts w:ascii="彩虹粗仿宋" w:eastAsia="彩虹粗仿宋" w:hAnsi="彩虹粗仿宋" w:cs="彩虹粗仿宋"/>
          <w:b/>
        </w:rPr>
      </w:pPr>
      <w:r w:rsidRPr="007F4ED0">
        <w:rPr>
          <w:rFonts w:ascii="彩虹粗仿宋" w:eastAsia="彩虹粗仿宋" w:hAnsi="彩虹粗仿宋" w:cs="彩虹粗仿宋" w:hint="eastAsia"/>
          <w:b/>
        </w:rPr>
        <w:t>单位：万元</w:t>
      </w:r>
    </w:p>
    <w:tbl>
      <w:tblPr>
        <w:tblW w:w="9165" w:type="dxa"/>
        <w:tblInd w:w="93" w:type="dxa"/>
        <w:tblLook w:val="04A0" w:firstRow="1" w:lastRow="0" w:firstColumn="1" w:lastColumn="0" w:noHBand="0" w:noVBand="1"/>
      </w:tblPr>
      <w:tblGrid>
        <w:gridCol w:w="957"/>
        <w:gridCol w:w="1173"/>
        <w:gridCol w:w="1125"/>
        <w:gridCol w:w="885"/>
        <w:gridCol w:w="957"/>
        <w:gridCol w:w="1196"/>
        <w:gridCol w:w="981"/>
        <w:gridCol w:w="886"/>
        <w:gridCol w:w="1005"/>
      </w:tblGrid>
      <w:tr w:rsidR="003E535C">
        <w:trPr>
          <w:trHeight w:val="628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2019年“三公”经费预算</w:t>
            </w:r>
          </w:p>
        </w:tc>
        <w:tc>
          <w:tcPr>
            <w:tcW w:w="4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2019年“三公”经费</w:t>
            </w:r>
            <w:r w:rsidR="00C9691E">
              <w:rPr>
                <w:rFonts w:ascii="彩虹粗仿宋" w:eastAsia="彩虹粗仿宋" w:hAnsi="宋体" w:cs="宋体" w:hint="eastAsia"/>
                <w:color w:val="000000"/>
              </w:rPr>
              <w:t>决算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“三公”经费预算执行率</w:t>
            </w:r>
          </w:p>
        </w:tc>
      </w:tr>
      <w:tr w:rsidR="003E535C">
        <w:trPr>
          <w:trHeight w:val="708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因公出国（境）费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公务用车运行维护费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公务接待费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因公出国（境）费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公务用车运行维护费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公务接待费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3E535C">
        <w:trPr>
          <w:trHeight w:val="622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0.92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0.92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0.69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0.69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75.37%</w:t>
            </w:r>
          </w:p>
        </w:tc>
      </w:tr>
    </w:tbl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sz w:val="24"/>
        </w:rPr>
        <w:t>2018年，</w:t>
      </w:r>
      <w:r>
        <w:rPr>
          <w:rFonts w:ascii="彩虹粗仿宋" w:eastAsia="彩虹粗仿宋" w:hint="eastAsia"/>
          <w:sz w:val="24"/>
          <w:szCs w:val="24"/>
        </w:rPr>
        <w:t>农工党遂宁市委</w:t>
      </w:r>
      <w:r>
        <w:rPr>
          <w:rFonts w:ascii="彩虹粗仿宋" w:eastAsia="彩虹粗仿宋" w:hAnsi="彩虹粗仿宋" w:cs="彩虹粗仿宋" w:hint="eastAsia"/>
          <w:sz w:val="24"/>
        </w:rPr>
        <w:t>因公出国（境）费、公务用车运行维护费、公务接待费的费用执行分别为0万元、0万元、0.1</w:t>
      </w:r>
      <w:r w:rsidR="00511D8B">
        <w:rPr>
          <w:rFonts w:ascii="彩虹粗仿宋" w:eastAsia="彩虹粗仿宋" w:hAnsi="彩虹粗仿宋" w:cs="彩虹粗仿宋" w:hint="eastAsia"/>
          <w:sz w:val="24"/>
        </w:rPr>
        <w:t>5</w:t>
      </w:r>
      <w:r>
        <w:rPr>
          <w:rFonts w:ascii="彩虹粗仿宋" w:eastAsia="彩虹粗仿宋" w:hAnsi="彩虹粗仿宋" w:cs="彩虹粗仿宋" w:hint="eastAsia"/>
          <w:sz w:val="24"/>
        </w:rPr>
        <w:t>万元， 2019年“三公经费”执行相比2018年增加了364.65%。</w:t>
      </w:r>
      <w:bookmarkStart w:id="12" w:name="_Toc55357788"/>
    </w:p>
    <w:p w:rsidR="003E535C" w:rsidRDefault="00A81A1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r>
        <w:rPr>
          <w:rFonts w:ascii="彩虹楷体" w:eastAsia="彩虹楷体" w:hint="eastAsia"/>
        </w:rPr>
        <w:t>（三）综合管理情况</w:t>
      </w:r>
      <w:bookmarkEnd w:id="12"/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1.政府性债务管理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农工党遂宁市委不涉及政府性债务管理。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2.非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税收入执收</w:t>
      </w:r>
      <w:proofErr w:type="gramEnd"/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农工党遂宁市委2019年非税收入为0。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3.政府采购实施计划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农工党遂宁市委采购实施计划与政府采购预算的执行计划一致。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4.资产管理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农工党遂宁市委进行了资产清查工作，将国有资产纳入资产信息系统管理，按要求及时、准确、全面开展资产清查工作，上报国有资产报表数据。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5.内控制度管理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农工党遂宁市委建立了内部控制制度，没有出现廉政风险或发生重大责任事故。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6.信息公开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农工党遂宁市委2019年部门预算已于2019年4月在遂宁市政府网站政府信息公开板块进行了公开，绩效目标亦按相关要求进行了公开。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lastRenderedPageBreak/>
        <w:t>7.绩效评价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农工党遂宁市委根据《遂宁市财政局关于开展2020年财政绩效评价工作的通知》（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遂财绩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〔2020〕12号）的要求，对部门2019年整体财政支出绩效进行了自评，并出具了自评报告及评分表。</w:t>
      </w:r>
    </w:p>
    <w:p w:rsidR="007F4ED0" w:rsidRDefault="007F4ED0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8.财政监督情况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农工党遂宁市委按照上级要求，对2019年的财政收支情况进行了自查，并提供了自查报告，截至评价工作组现场评价时间，暂未收到相关反馈和整改建议。</w:t>
      </w:r>
    </w:p>
    <w:p w:rsidR="003E535C" w:rsidRDefault="00A81A1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3" w:name="_Toc55357789"/>
      <w:r>
        <w:rPr>
          <w:rFonts w:ascii="彩虹楷体" w:eastAsia="彩虹楷体" w:hint="eastAsia"/>
        </w:rPr>
        <w:t>（四）整体绩效情况</w:t>
      </w:r>
      <w:bookmarkEnd w:id="13"/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1.重点项目绩效评价结果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大部分</w:t>
      </w:r>
      <w:r>
        <w:rPr>
          <w:rFonts w:ascii="彩虹粗仿宋" w:eastAsia="彩虹粗仿宋" w:hAnsi="彩虹粗仿宋" w:cs="彩虹粗仿宋"/>
          <w:sz w:val="24"/>
          <w:szCs w:val="24"/>
        </w:rPr>
        <w:t>项目进展执行良好，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部分项目执行进度和完成度有待进一步提高和完善。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2.部门职能完成情况</w:t>
      </w:r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根据《部门（单位）整体支出绩效目标批复表》，农工党遂宁市委的全年目标任务为4项，即加强自身建设</w:t>
      </w:r>
      <w:r>
        <w:rPr>
          <w:rFonts w:ascii="彩虹粗仿宋" w:eastAsia="彩虹粗仿宋" w:hAnsi="彩虹粗仿宋" w:cs="彩虹粗仿宋"/>
          <w:sz w:val="24"/>
          <w:szCs w:val="24"/>
        </w:rPr>
        <w:t>、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加强参政议政、加强培训工作、加强市直组织建设，各项</w:t>
      </w:r>
      <w:r>
        <w:rPr>
          <w:rFonts w:ascii="彩虹粗仿宋" w:eastAsia="彩虹粗仿宋" w:hAnsi="彩虹粗仿宋" w:cs="彩虹粗仿宋"/>
          <w:sz w:val="24"/>
          <w:szCs w:val="24"/>
        </w:rPr>
        <w:t>工作均圆满完成。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 xml:space="preserve"> </w:t>
      </w:r>
    </w:p>
    <w:p w:rsidR="003E535C" w:rsidRDefault="00A81A1C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14" w:name="_Toc55357790"/>
      <w:r>
        <w:rPr>
          <w:rFonts w:ascii="彩虹楷体" w:eastAsia="彩虹楷体" w:hint="eastAsia"/>
          <w:sz w:val="28"/>
        </w:rPr>
        <w:t>四、评价结论及建议</w:t>
      </w:r>
      <w:bookmarkEnd w:id="14"/>
    </w:p>
    <w:p w:rsidR="003E535C" w:rsidRDefault="00A81A1C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5" w:name="_Toc55357791"/>
      <w:r>
        <w:rPr>
          <w:rFonts w:ascii="彩虹楷体" w:eastAsia="彩虹楷体" w:hint="eastAsia"/>
        </w:rPr>
        <w:t>（一）评价结论</w:t>
      </w:r>
      <w:bookmarkEnd w:id="15"/>
    </w:p>
    <w:p w:rsidR="003E535C" w:rsidRDefault="00A81A1C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  <w:sectPr w:rsidR="003E535C">
          <w:footerReference w:type="default" r:id="rId11"/>
          <w:pgSz w:w="11905" w:h="16838"/>
          <w:pgMar w:top="1531" w:right="1418" w:bottom="1531" w:left="1418" w:header="851" w:footer="992" w:gutter="0"/>
          <w:pgNumType w:fmt="numberInDash" w:start="1"/>
          <w:cols w:space="720"/>
          <w:docGrid w:type="lines" w:linePitch="290"/>
        </w:sect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总体来看，农工党遂宁市委2019年度的预算报送及时合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规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、财务核算较为规范、内控制度建设较完善，完成了各项目标任务。但在预算编制、执行进度和费用控制等方面还存在一些问题。农工党遂宁市委绩效评价得分92.79分。</w:t>
      </w:r>
    </w:p>
    <w:p w:rsidR="003E535C" w:rsidRDefault="00A81A1C">
      <w:pPr>
        <w:spacing w:line="360" w:lineRule="auto"/>
        <w:ind w:firstLineChars="1600" w:firstLine="3855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/>
          <w:bCs/>
          <w:sz w:val="24"/>
          <w:szCs w:val="24"/>
        </w:rPr>
        <w:lastRenderedPageBreak/>
        <w:t>表4.1 农工党遂宁市委2019年部门整体绩效评价评分表</w:t>
      </w:r>
    </w:p>
    <w:tbl>
      <w:tblPr>
        <w:tblW w:w="135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68"/>
        <w:gridCol w:w="1200"/>
        <w:gridCol w:w="1562"/>
        <w:gridCol w:w="1200"/>
        <w:gridCol w:w="1003"/>
        <w:gridCol w:w="1068"/>
        <w:gridCol w:w="5984"/>
      </w:tblGrid>
      <w:tr w:rsidR="003E535C">
        <w:trPr>
          <w:trHeight w:val="530"/>
        </w:trPr>
        <w:tc>
          <w:tcPr>
            <w:tcW w:w="4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绩效指标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指标分值</w:t>
            </w:r>
          </w:p>
        </w:tc>
        <w:tc>
          <w:tcPr>
            <w:tcW w:w="8055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彩虹粗仿宋" w:cs="彩虹粗仿宋"/>
                <w:b/>
                <w:bCs/>
                <w:kern w:val="2"/>
              </w:rPr>
            </w:pPr>
            <w:r>
              <w:rPr>
                <w:rFonts w:ascii="彩虹粗仿宋" w:eastAsia="彩虹粗仿宋" w:hAnsi="彩虹粗仿宋" w:cs="彩虹粗仿宋" w:hint="eastAsia"/>
                <w:b/>
                <w:bCs/>
                <w:kern w:val="2"/>
              </w:rPr>
              <w:t>农工党遂宁市委</w:t>
            </w:r>
          </w:p>
        </w:tc>
      </w:tr>
      <w:tr w:rsidR="003E535C">
        <w:trPr>
          <w:trHeight w:val="474"/>
        </w:trPr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一级指标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二级指标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三级指标</w:t>
            </w:r>
          </w:p>
        </w:tc>
        <w:tc>
          <w:tcPr>
            <w:tcW w:w="120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得分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扣分</w:t>
            </w:r>
          </w:p>
        </w:tc>
        <w:tc>
          <w:tcPr>
            <w:tcW w:w="598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扣分理由</w:t>
            </w:r>
          </w:p>
        </w:tc>
      </w:tr>
      <w:tr w:rsidR="003E535C">
        <w:trPr>
          <w:trHeight w:val="482"/>
        </w:trPr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部门预算管理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预算编制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目标制定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预算精细化度不够细化，中期预算有一定调整</w:t>
            </w:r>
          </w:p>
        </w:tc>
      </w:tr>
      <w:tr w:rsidR="003E535C">
        <w:trPr>
          <w:trHeight w:val="530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目标实现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3E535C">
        <w:trPr>
          <w:trHeight w:val="569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编制准确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预算编制准确性有待提高，预算数与决算数偏差较大</w:t>
            </w:r>
          </w:p>
        </w:tc>
      </w:tr>
      <w:tr w:rsidR="003E535C">
        <w:trPr>
          <w:trHeight w:val="531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预算执行</w:t>
            </w:r>
          </w:p>
          <w:p w:rsidR="003E535C" w:rsidRDefault="00A81A1C">
            <w:pPr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                              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支出控制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3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left"/>
              <w:rPr>
                <w:rFonts w:ascii="彩虹粗仿宋" w:eastAsia="彩虹粗仿宋" w:hAnsi="宋体" w:cs="宋体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会议费、差旅费、物业管理费、办公费年初预算与决算偏差较大 </w:t>
            </w:r>
          </w:p>
        </w:tc>
      </w:tr>
      <w:tr w:rsidR="003E535C">
        <w:trPr>
          <w:trHeight w:val="577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动态调整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3E535C">
        <w:trPr>
          <w:trHeight w:val="557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执行进度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spacing w:line="240" w:lineRule="exact"/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  <w:sz w:val="18"/>
                <w:szCs w:val="18"/>
              </w:rPr>
              <w:t>部分项目支出进展较为缓慢，如市直党派成员活动经费1-7月应执行数为12万元，实际执行数为9.59万元，执行进度为79.92%。</w:t>
            </w:r>
          </w:p>
        </w:tc>
      </w:tr>
      <w:tr w:rsidR="003E535C">
        <w:trPr>
          <w:trHeight w:val="565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完成结果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预算完成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9.79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0.21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部门预算执行比例97.90 </w:t>
            </w:r>
          </w:p>
        </w:tc>
      </w:tr>
      <w:tr w:rsidR="003E535C">
        <w:trPr>
          <w:trHeight w:val="545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违规记录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3E535C">
        <w:trPr>
          <w:trHeight w:val="530"/>
        </w:trPr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绩效结果应用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信息公开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自评公开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3E535C">
        <w:trPr>
          <w:trHeight w:val="522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整改反馈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结果整改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</w:tr>
      <w:tr w:rsidR="003E535C">
        <w:trPr>
          <w:trHeight w:val="584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应用反馈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3E535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</w:tr>
      <w:tr w:rsidR="003E535C">
        <w:trPr>
          <w:trHeight w:val="591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自评质量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自评质量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自评准确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10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3E535C">
        <w:trPr>
          <w:trHeight w:val="641"/>
        </w:trPr>
        <w:tc>
          <w:tcPr>
            <w:tcW w:w="4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得分</w:t>
            </w:r>
          </w:p>
        </w:tc>
        <w:tc>
          <w:tcPr>
            <w:tcW w:w="9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C" w:rsidRDefault="00A81A1C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92.79</w:t>
            </w:r>
          </w:p>
        </w:tc>
      </w:tr>
    </w:tbl>
    <w:p w:rsidR="003E535C" w:rsidRDefault="003E535C">
      <w:pPr>
        <w:spacing w:line="360" w:lineRule="auto"/>
        <w:rPr>
          <w:rFonts w:ascii="彩虹粗仿宋" w:eastAsia="彩虹粗仿宋" w:hAnsi="彩虹粗仿宋" w:cs="彩虹粗仿宋"/>
          <w:sz w:val="24"/>
          <w:szCs w:val="24"/>
        </w:rPr>
        <w:sectPr w:rsidR="003E535C">
          <w:pgSz w:w="16838" w:h="11905" w:orient="landscape"/>
          <w:pgMar w:top="1418" w:right="1531" w:bottom="1418" w:left="1531" w:header="851" w:footer="992" w:gutter="0"/>
          <w:pgNumType w:fmt="numberInDash"/>
          <w:cols w:space="720"/>
          <w:docGrid w:type="lines" w:linePitch="290"/>
        </w:sectPr>
      </w:pPr>
    </w:p>
    <w:p w:rsidR="003E535C" w:rsidRDefault="00A81A1C" w:rsidP="009F5622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6" w:name="_Toc55357792"/>
      <w:bookmarkStart w:id="17" w:name="_Toc53087636"/>
      <w:r>
        <w:rPr>
          <w:rFonts w:ascii="彩虹楷体" w:eastAsia="彩虹楷体" w:hint="eastAsia"/>
        </w:rPr>
        <w:lastRenderedPageBreak/>
        <w:t>（二）存在问题</w:t>
      </w:r>
      <w:bookmarkEnd w:id="16"/>
    </w:p>
    <w:p w:rsidR="003E535C" w:rsidRDefault="00A81A1C" w:rsidP="009F5622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bookmarkStart w:id="18" w:name="_Toc55357793"/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1.预算编制方面</w:t>
      </w:r>
    </w:p>
    <w:p w:rsidR="003E535C" w:rsidRDefault="00A81A1C" w:rsidP="00C46AA9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kern w:val="2"/>
          <w:sz w:val="24"/>
          <w:szCs w:val="24"/>
          <w:lang w:bidi="ar"/>
        </w:rPr>
        <w:t>2019年，农工党预算编制准确性有待提高，中期存在一定的调整，预算精细化程度不足，个别费用增幅较大。办公费预算数0.75万元，决算数</w:t>
      </w:r>
      <w:r w:rsidR="002A65EC">
        <w:rPr>
          <w:rFonts w:ascii="彩虹粗仿宋" w:eastAsia="彩虹粗仿宋" w:hAnsi="彩虹粗仿宋" w:cs="彩虹粗仿宋" w:hint="eastAsia"/>
          <w:kern w:val="2"/>
          <w:sz w:val="24"/>
          <w:szCs w:val="24"/>
          <w:lang w:bidi="ar"/>
        </w:rPr>
        <w:t>0.86</w:t>
      </w:r>
      <w:r>
        <w:rPr>
          <w:rFonts w:ascii="彩虹粗仿宋" w:eastAsia="彩虹粗仿宋" w:hAnsi="彩虹粗仿宋" w:cs="彩虹粗仿宋" w:hint="eastAsia"/>
          <w:kern w:val="2"/>
          <w:sz w:val="24"/>
          <w:szCs w:val="24"/>
          <w:lang w:bidi="ar"/>
        </w:rPr>
        <w:t>万元，增幅</w:t>
      </w:r>
      <w:r w:rsidR="002A65EC">
        <w:rPr>
          <w:rFonts w:ascii="彩虹粗仿宋" w:eastAsia="彩虹粗仿宋" w:hAnsi="彩虹粗仿宋" w:cs="彩虹粗仿宋" w:hint="eastAsia"/>
          <w:kern w:val="2"/>
          <w:sz w:val="24"/>
          <w:szCs w:val="24"/>
          <w:lang w:bidi="ar"/>
        </w:rPr>
        <w:t>14.19</w:t>
      </w:r>
      <w:r>
        <w:rPr>
          <w:rFonts w:ascii="彩虹粗仿宋" w:eastAsia="彩虹粗仿宋" w:hAnsi="彩虹粗仿宋" w:cs="彩虹粗仿宋" w:hint="eastAsia"/>
          <w:kern w:val="2"/>
          <w:sz w:val="24"/>
          <w:szCs w:val="24"/>
          <w:lang w:bidi="ar"/>
        </w:rPr>
        <w:t>%。</w:t>
      </w: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“三公”经费支出2019年较2018年出现大幅增长。2018</w:t>
      </w:r>
      <w:r w:rsidR="009F5622"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年</w:t>
      </w: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“三公</w:t>
      </w:r>
      <w:r w:rsidR="00A27604"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”经费</w:t>
      </w: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合计支出0.1</w:t>
      </w:r>
      <w:r w:rsidR="009F5622"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5</w:t>
      </w: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万元</w:t>
      </w:r>
      <w:r w:rsidR="0016643A"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，</w:t>
      </w: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2019年</w:t>
      </w:r>
      <w:r w:rsidR="009F5622"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 xml:space="preserve"> </w:t>
      </w: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“三公</w:t>
      </w:r>
      <w:r w:rsidR="00752DCB"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”经费</w:t>
      </w: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合计支出0.69</w:t>
      </w:r>
      <w:r w:rsidR="0016643A"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万元，</w:t>
      </w:r>
      <w:bookmarkStart w:id="19" w:name="_GoBack"/>
      <w:bookmarkEnd w:id="19"/>
      <w:r w:rsidR="009F5622"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2019年较</w:t>
      </w: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2018年增加了364.65%。</w:t>
      </w:r>
    </w:p>
    <w:p w:rsidR="003E535C" w:rsidRDefault="00A81A1C" w:rsidP="00C46AA9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2.预算执行方面</w:t>
      </w:r>
    </w:p>
    <w:p w:rsidR="003E535C" w:rsidRDefault="00A81A1C" w:rsidP="009F5622">
      <w:pPr>
        <w:widowControl w:val="0"/>
        <w:spacing w:line="360" w:lineRule="auto"/>
        <w:ind w:firstLineChars="200" w:firstLine="480"/>
      </w:pP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2019年度，农工党遂宁市委部门整体预算执行进度97.9%，略有结余；项目支出中期进度79.92%，略有滞后。</w:t>
      </w:r>
    </w:p>
    <w:p w:rsidR="003E535C" w:rsidRDefault="00A81A1C" w:rsidP="009F5622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r>
        <w:rPr>
          <w:rFonts w:ascii="彩虹楷体" w:eastAsia="彩虹楷体" w:hint="eastAsia"/>
        </w:rPr>
        <w:t>（三）改进建议</w:t>
      </w:r>
      <w:bookmarkEnd w:id="18"/>
    </w:p>
    <w:p w:rsidR="003E535C" w:rsidRDefault="00A81A1C" w:rsidP="009F5622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1.建议强化预算编制，各项经费收入全部纳入预算管理，提高预算精准度，使用科目的设置规范化。尤其要注意办公费、“三公”经费等费用的开支，避免出现预决算或不同年度之间的大幅波动。</w:t>
      </w:r>
    </w:p>
    <w:p w:rsidR="003E535C" w:rsidRDefault="00A81A1C" w:rsidP="009F5622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</w:t>
      </w:r>
      <w:bookmarkEnd w:id="17"/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建议加强资金管理，对事前、事中进行控制，对支出进行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合理把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  <w:lang w:bidi="ar"/>
        </w:rPr>
        <w:t>控，积极开展年度中期评估，对下半年度资金做好计划，以提高资金使用效益。</w:t>
      </w:r>
    </w:p>
    <w:p w:rsidR="003E535C" w:rsidRDefault="003E535C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3E535C" w:rsidRDefault="003E535C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3E535C" w:rsidRDefault="003E535C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3E535C" w:rsidRDefault="003E535C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3E535C" w:rsidRDefault="003E535C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3E535C" w:rsidRDefault="003E535C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3E535C" w:rsidRDefault="003E535C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3E535C" w:rsidRDefault="003E535C">
      <w:pPr>
        <w:spacing w:after="163" w:line="360" w:lineRule="auto"/>
      </w:pPr>
    </w:p>
    <w:p w:rsidR="0018372B" w:rsidRDefault="0018372B">
      <w:pPr>
        <w:spacing w:after="163" w:line="360" w:lineRule="auto"/>
      </w:pPr>
    </w:p>
    <w:p w:rsidR="0018372B" w:rsidRDefault="0018372B">
      <w:pPr>
        <w:spacing w:after="163" w:line="360" w:lineRule="auto"/>
      </w:pPr>
    </w:p>
    <w:p w:rsidR="0018372B" w:rsidRDefault="0018372B">
      <w:pPr>
        <w:spacing w:after="163" w:line="360" w:lineRule="auto"/>
      </w:pPr>
    </w:p>
    <w:p w:rsidR="0018372B" w:rsidRDefault="0018372B">
      <w:pPr>
        <w:spacing w:after="163" w:line="360" w:lineRule="auto"/>
      </w:pPr>
    </w:p>
    <w:p w:rsidR="0018372B" w:rsidRDefault="0018372B">
      <w:pPr>
        <w:spacing w:after="163" w:line="360" w:lineRule="auto"/>
      </w:pPr>
    </w:p>
    <w:p w:rsidR="003E535C" w:rsidRDefault="00A81A1C">
      <w:pPr>
        <w:spacing w:after="163" w:line="360" w:lineRule="auto"/>
        <w:ind w:firstLine="480"/>
        <w:jc w:val="center"/>
        <w:rPr>
          <w:rFonts w:ascii="彩虹黑体" w:eastAsia="彩虹黑体"/>
        </w:rPr>
      </w:pPr>
      <w:r>
        <w:fldChar w:fldCharType="begin"/>
      </w:r>
      <w:r>
        <w:instrText xml:space="preserve"> INCLUDEPICTURE "C:\\Users\\JYZX11\\AppData\\Local\\Temp\\ksohtml10280\\wps1.jpg" \* MERGEFORMATINET </w:instrText>
      </w:r>
      <w:r>
        <w:fldChar w:fldCharType="separate"/>
      </w:r>
      <w:r>
        <w:rPr>
          <w:noProof/>
        </w:rPr>
        <w:drawing>
          <wp:inline distT="0" distB="0" distL="114300" distR="114300">
            <wp:extent cx="1256665" cy="4029710"/>
            <wp:effectExtent l="0" t="0" r="8255" b="8890"/>
            <wp:docPr id="4" name="图片 2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wps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3E535C" w:rsidRDefault="00A81A1C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3E535C" w:rsidRDefault="00A81A1C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3E535C" w:rsidRDefault="00A81A1C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3E535C" w:rsidRDefault="003E535C">
      <w:pPr>
        <w:spacing w:after="163" w:line="360" w:lineRule="auto"/>
        <w:ind w:firstLine="480"/>
        <w:rPr>
          <w:rFonts w:ascii="彩虹黑体" w:eastAsia="彩虹黑体"/>
        </w:rPr>
      </w:pPr>
    </w:p>
    <w:p w:rsidR="003E535C" w:rsidRDefault="003E535C">
      <w:pPr>
        <w:spacing w:after="163" w:line="360" w:lineRule="auto"/>
        <w:ind w:firstLine="480"/>
        <w:rPr>
          <w:rFonts w:ascii="彩虹黑体" w:eastAsia="彩虹黑体"/>
        </w:rPr>
      </w:pPr>
    </w:p>
    <w:p w:rsidR="003E535C" w:rsidRDefault="00A81A1C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3E535C" w:rsidRDefault="00A81A1C">
      <w:pPr>
        <w:spacing w:after="163" w:line="360" w:lineRule="auto"/>
        <w:ind w:firstLine="48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4362450</wp:posOffset>
            </wp:positionH>
            <wp:positionV relativeFrom="line">
              <wp:posOffset>152400</wp:posOffset>
            </wp:positionV>
            <wp:extent cx="1333500" cy="1343025"/>
            <wp:effectExtent l="0" t="0" r="7620" b="13335"/>
            <wp:wrapSquare wrapText="bothSides"/>
            <wp:docPr id="3" name="图片 2" descr="wp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wps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彩虹黑体" w:eastAsia="彩虹黑体" w:hint="eastAsia"/>
        </w:rPr>
        <w:t xml:space="preserve"> </w:t>
      </w:r>
      <w:r>
        <w:rPr>
          <w:rFonts w:ascii="彩虹黑体" w:eastAsia="彩虹黑体" w:hint="eastAsia"/>
          <w:sz w:val="28"/>
          <w:szCs w:val="28"/>
        </w:rPr>
        <w:t>建银工程咨询有限责任公司四川分公司</w:t>
      </w:r>
    </w:p>
    <w:p w:rsidR="003E535C" w:rsidRDefault="00A81A1C">
      <w:pPr>
        <w:spacing w:after="163" w:line="360" w:lineRule="auto"/>
        <w:ind w:firstLine="56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t>地址：成都市青羊区提督街88号</w:t>
      </w:r>
    </w:p>
    <w:p w:rsidR="003E535C" w:rsidRDefault="00A81A1C">
      <w:pPr>
        <w:spacing w:after="163" w:line="360" w:lineRule="auto"/>
        <w:ind w:rightChars="-837" w:right="-1758" w:firstLineChars="200" w:firstLine="56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t>公司网址：http://www.ccbconsulting.com</w:t>
      </w:r>
    </w:p>
    <w:sectPr w:rsidR="003E535C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8A2" w:rsidRDefault="00DC78A2">
      <w:r>
        <w:separator/>
      </w:r>
    </w:p>
  </w:endnote>
  <w:endnote w:type="continuationSeparator" w:id="0">
    <w:p w:rsidR="00DC78A2" w:rsidRDefault="00DC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楷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5C" w:rsidRDefault="003E535C">
    <w:pPr>
      <w:pStyle w:val="a4"/>
    </w:pPr>
  </w:p>
  <w:p w:rsidR="003E535C" w:rsidRDefault="003E535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6758099"/>
    </w:sdtPr>
    <w:sdtEndPr/>
    <w:sdtContent>
      <w:p w:rsidR="003E535C" w:rsidRDefault="00A81A1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43A" w:rsidRPr="0016643A">
          <w:rPr>
            <w:noProof/>
            <w:lang w:val="zh-CN"/>
          </w:rPr>
          <w:t>-</w:t>
        </w:r>
        <w:r w:rsidR="0016643A">
          <w:rPr>
            <w:noProof/>
          </w:rPr>
          <w:t xml:space="preserve"> 7 -</w:t>
        </w:r>
        <w:r>
          <w:fldChar w:fldCharType="end"/>
        </w:r>
      </w:p>
    </w:sdtContent>
  </w:sdt>
  <w:p w:rsidR="003E535C" w:rsidRDefault="003E535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8A2" w:rsidRDefault="00DC78A2">
      <w:r>
        <w:separator/>
      </w:r>
    </w:p>
  </w:footnote>
  <w:footnote w:type="continuationSeparator" w:id="0">
    <w:p w:rsidR="00DC78A2" w:rsidRDefault="00DC78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192"/>
    <w:rsid w:val="00031FE4"/>
    <w:rsid w:val="000368A5"/>
    <w:rsid w:val="00052D41"/>
    <w:rsid w:val="00072E97"/>
    <w:rsid w:val="00084686"/>
    <w:rsid w:val="000961FE"/>
    <w:rsid w:val="000B387F"/>
    <w:rsid w:val="000F548A"/>
    <w:rsid w:val="000F7440"/>
    <w:rsid w:val="00101915"/>
    <w:rsid w:val="001115ED"/>
    <w:rsid w:val="00124CFD"/>
    <w:rsid w:val="0016643A"/>
    <w:rsid w:val="00171258"/>
    <w:rsid w:val="00172456"/>
    <w:rsid w:val="0018372B"/>
    <w:rsid w:val="001A7F8B"/>
    <w:rsid w:val="001C0128"/>
    <w:rsid w:val="001E4CEB"/>
    <w:rsid w:val="002076AF"/>
    <w:rsid w:val="002340C2"/>
    <w:rsid w:val="002377E5"/>
    <w:rsid w:val="00262BD8"/>
    <w:rsid w:val="0027777A"/>
    <w:rsid w:val="00277A09"/>
    <w:rsid w:val="002A65EC"/>
    <w:rsid w:val="002B04E8"/>
    <w:rsid w:val="002C21FE"/>
    <w:rsid w:val="002D7DFA"/>
    <w:rsid w:val="003139A2"/>
    <w:rsid w:val="00331D06"/>
    <w:rsid w:val="003925C6"/>
    <w:rsid w:val="003D14C8"/>
    <w:rsid w:val="003E535C"/>
    <w:rsid w:val="003F1F26"/>
    <w:rsid w:val="00421A7A"/>
    <w:rsid w:val="00425541"/>
    <w:rsid w:val="0043164E"/>
    <w:rsid w:val="00435239"/>
    <w:rsid w:val="004371FC"/>
    <w:rsid w:val="00447927"/>
    <w:rsid w:val="004825B8"/>
    <w:rsid w:val="004E6B52"/>
    <w:rsid w:val="004F0944"/>
    <w:rsid w:val="00511D8B"/>
    <w:rsid w:val="005121D2"/>
    <w:rsid w:val="00583DF8"/>
    <w:rsid w:val="005969D4"/>
    <w:rsid w:val="005E332D"/>
    <w:rsid w:val="00600F64"/>
    <w:rsid w:val="00606216"/>
    <w:rsid w:val="006417FC"/>
    <w:rsid w:val="0065425B"/>
    <w:rsid w:val="00656E88"/>
    <w:rsid w:val="00692F41"/>
    <w:rsid w:val="007028EE"/>
    <w:rsid w:val="0074425A"/>
    <w:rsid w:val="00752DCB"/>
    <w:rsid w:val="007773FC"/>
    <w:rsid w:val="00781F54"/>
    <w:rsid w:val="007F4ED0"/>
    <w:rsid w:val="00807424"/>
    <w:rsid w:val="008439C0"/>
    <w:rsid w:val="00882222"/>
    <w:rsid w:val="008A0641"/>
    <w:rsid w:val="008C28E8"/>
    <w:rsid w:val="008E0CED"/>
    <w:rsid w:val="00911B62"/>
    <w:rsid w:val="009355C4"/>
    <w:rsid w:val="009568E6"/>
    <w:rsid w:val="00986192"/>
    <w:rsid w:val="009B4B6F"/>
    <w:rsid w:val="009D611D"/>
    <w:rsid w:val="009F5622"/>
    <w:rsid w:val="00A27604"/>
    <w:rsid w:val="00A44E4E"/>
    <w:rsid w:val="00A81A1C"/>
    <w:rsid w:val="00A874E8"/>
    <w:rsid w:val="00AC6E50"/>
    <w:rsid w:val="00AC7FB0"/>
    <w:rsid w:val="00AF73D0"/>
    <w:rsid w:val="00B04454"/>
    <w:rsid w:val="00B2356A"/>
    <w:rsid w:val="00B82AE9"/>
    <w:rsid w:val="00B956EA"/>
    <w:rsid w:val="00BA2D9C"/>
    <w:rsid w:val="00BA61C1"/>
    <w:rsid w:val="00BD390F"/>
    <w:rsid w:val="00BD7125"/>
    <w:rsid w:val="00BE16E4"/>
    <w:rsid w:val="00BF399E"/>
    <w:rsid w:val="00C059F9"/>
    <w:rsid w:val="00C22F4E"/>
    <w:rsid w:val="00C42842"/>
    <w:rsid w:val="00C46AA9"/>
    <w:rsid w:val="00C47229"/>
    <w:rsid w:val="00C51529"/>
    <w:rsid w:val="00C520AD"/>
    <w:rsid w:val="00C9691E"/>
    <w:rsid w:val="00CA4FC4"/>
    <w:rsid w:val="00CB18E0"/>
    <w:rsid w:val="00CF201A"/>
    <w:rsid w:val="00D4324E"/>
    <w:rsid w:val="00D968AD"/>
    <w:rsid w:val="00DC78A2"/>
    <w:rsid w:val="00DD4B1E"/>
    <w:rsid w:val="00E23F98"/>
    <w:rsid w:val="00E32E69"/>
    <w:rsid w:val="00E574A8"/>
    <w:rsid w:val="00E70F29"/>
    <w:rsid w:val="00EC1EA3"/>
    <w:rsid w:val="00EC2E32"/>
    <w:rsid w:val="00EC4713"/>
    <w:rsid w:val="00EE7143"/>
    <w:rsid w:val="00EE730B"/>
    <w:rsid w:val="00F2628B"/>
    <w:rsid w:val="00F35898"/>
    <w:rsid w:val="00F72AAA"/>
    <w:rsid w:val="00FB06D7"/>
    <w:rsid w:val="01E23423"/>
    <w:rsid w:val="03224019"/>
    <w:rsid w:val="046A3538"/>
    <w:rsid w:val="04854217"/>
    <w:rsid w:val="04A04FC5"/>
    <w:rsid w:val="05050EDC"/>
    <w:rsid w:val="09D805C0"/>
    <w:rsid w:val="0C7C1715"/>
    <w:rsid w:val="0C864E92"/>
    <w:rsid w:val="10A974B5"/>
    <w:rsid w:val="10FE7383"/>
    <w:rsid w:val="13F560C2"/>
    <w:rsid w:val="14176551"/>
    <w:rsid w:val="185E0D01"/>
    <w:rsid w:val="19452D83"/>
    <w:rsid w:val="1BDB5205"/>
    <w:rsid w:val="1FCF286F"/>
    <w:rsid w:val="20633745"/>
    <w:rsid w:val="224C3B53"/>
    <w:rsid w:val="2506467F"/>
    <w:rsid w:val="27192AAD"/>
    <w:rsid w:val="29473CCA"/>
    <w:rsid w:val="37BA6B9D"/>
    <w:rsid w:val="39717480"/>
    <w:rsid w:val="3BFA7F0D"/>
    <w:rsid w:val="3D6E4B67"/>
    <w:rsid w:val="44A11A3B"/>
    <w:rsid w:val="44D410C4"/>
    <w:rsid w:val="44FF1677"/>
    <w:rsid w:val="457C2A9C"/>
    <w:rsid w:val="46A95ACF"/>
    <w:rsid w:val="475F37AB"/>
    <w:rsid w:val="4AB31013"/>
    <w:rsid w:val="51743A7A"/>
    <w:rsid w:val="51BE5869"/>
    <w:rsid w:val="53A13384"/>
    <w:rsid w:val="590C79BF"/>
    <w:rsid w:val="61862730"/>
    <w:rsid w:val="61C83D4A"/>
    <w:rsid w:val="67EC243A"/>
    <w:rsid w:val="69326695"/>
    <w:rsid w:val="6C907F32"/>
    <w:rsid w:val="6E497BDB"/>
    <w:rsid w:val="708C497D"/>
    <w:rsid w:val="732E2B76"/>
    <w:rsid w:val="75F321D4"/>
    <w:rsid w:val="77F773BC"/>
    <w:rsid w:val="7A76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仿宋_GB231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360" w:lineRule="auto"/>
      <w:ind w:firstLineChars="200" w:firstLine="720"/>
    </w:pPr>
    <w:rPr>
      <w:rFonts w:ascii="Calibri" w:eastAsia="黑体" w:hAnsi="Calibri"/>
      <w:sz w:val="28"/>
      <w:szCs w:val="24"/>
    </w:rPr>
  </w:style>
  <w:style w:type="paragraph" w:styleId="a6">
    <w:name w:val="Subtitle"/>
    <w:basedOn w:val="a"/>
    <w:next w:val="a"/>
    <w:link w:val="Char2"/>
    <w:uiPriority w:val="11"/>
    <w:qFormat/>
    <w:pPr>
      <w:spacing w:before="240" w:after="120" w:line="312" w:lineRule="auto"/>
      <w:jc w:val="left"/>
      <w:outlineLvl w:val="1"/>
    </w:pPr>
    <w:rPr>
      <w:rFonts w:ascii="Cambria" w:hAnsi="Cambria"/>
      <w:b/>
      <w:kern w:val="28"/>
      <w:sz w:val="24"/>
      <w:szCs w:val="24"/>
    </w:rPr>
  </w:style>
  <w:style w:type="paragraph" w:styleId="2">
    <w:name w:val="toc 2"/>
    <w:basedOn w:val="a"/>
    <w:next w:val="a"/>
    <w:uiPriority w:val="39"/>
    <w:unhideWhenUsed/>
    <w:qFormat/>
    <w:pPr>
      <w:spacing w:after="100" w:line="276" w:lineRule="auto"/>
      <w:ind w:left="220"/>
      <w:jc w:val="left"/>
    </w:pPr>
    <w:rPr>
      <w:rFonts w:ascii="Calibri" w:eastAsia="宋体" w:hAnsi="Calibri"/>
      <w:sz w:val="22"/>
      <w:szCs w:val="22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副标题 Char"/>
    <w:basedOn w:val="a0"/>
    <w:link w:val="a6"/>
    <w:uiPriority w:val="11"/>
    <w:qFormat/>
    <w:rPr>
      <w:rFonts w:ascii="Cambria" w:eastAsia="仿宋_GB2312" w:hAnsi="Cambria" w:cs="Times New Roman"/>
      <w:b/>
      <w:kern w:val="28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仿宋_GB231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360" w:lineRule="auto"/>
      <w:ind w:firstLineChars="200" w:firstLine="720"/>
    </w:pPr>
    <w:rPr>
      <w:rFonts w:ascii="Calibri" w:eastAsia="黑体" w:hAnsi="Calibri"/>
      <w:sz w:val="28"/>
      <w:szCs w:val="24"/>
    </w:rPr>
  </w:style>
  <w:style w:type="paragraph" w:styleId="a6">
    <w:name w:val="Subtitle"/>
    <w:basedOn w:val="a"/>
    <w:next w:val="a"/>
    <w:link w:val="Char2"/>
    <w:uiPriority w:val="11"/>
    <w:qFormat/>
    <w:pPr>
      <w:spacing w:before="240" w:after="120" w:line="312" w:lineRule="auto"/>
      <w:jc w:val="left"/>
      <w:outlineLvl w:val="1"/>
    </w:pPr>
    <w:rPr>
      <w:rFonts w:ascii="Cambria" w:hAnsi="Cambria"/>
      <w:b/>
      <w:kern w:val="28"/>
      <w:sz w:val="24"/>
      <w:szCs w:val="24"/>
    </w:rPr>
  </w:style>
  <w:style w:type="paragraph" w:styleId="2">
    <w:name w:val="toc 2"/>
    <w:basedOn w:val="a"/>
    <w:next w:val="a"/>
    <w:uiPriority w:val="39"/>
    <w:unhideWhenUsed/>
    <w:qFormat/>
    <w:pPr>
      <w:spacing w:after="100" w:line="276" w:lineRule="auto"/>
      <w:ind w:left="220"/>
      <w:jc w:val="left"/>
    </w:pPr>
    <w:rPr>
      <w:rFonts w:ascii="Calibri" w:eastAsia="宋体" w:hAnsi="Calibri"/>
      <w:sz w:val="22"/>
      <w:szCs w:val="22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副标题 Char"/>
    <w:basedOn w:val="a0"/>
    <w:link w:val="a6"/>
    <w:uiPriority w:val="11"/>
    <w:qFormat/>
    <w:rPr>
      <w:rFonts w:ascii="Cambria" w:eastAsia="仿宋_GB2312" w:hAnsi="Cambria" w:cs="Times New Roman"/>
      <w:b/>
      <w:kern w:val="28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7FC83A-E036-4FE5-A460-6AC754E2E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832</Words>
  <Characters>4749</Characters>
  <Application>Microsoft Office Word</Application>
  <DocSecurity>0</DocSecurity>
  <Lines>39</Lines>
  <Paragraphs>11</Paragraphs>
  <ScaleCrop>false</ScaleCrop>
  <Company>Windsoft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lg</cp:lastModifiedBy>
  <cp:revision>29</cp:revision>
  <dcterms:created xsi:type="dcterms:W3CDTF">2020-11-13T07:42:00Z</dcterms:created>
  <dcterms:modified xsi:type="dcterms:W3CDTF">2020-11-21T20:23:00Z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