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85" w:rsidRDefault="00BE234C">
      <w:pPr>
        <w:snapToGrid w:val="0"/>
        <w:rPr>
          <w:rFonts w:ascii="彩虹粗仿宋" w:eastAsia="彩虹粗仿宋"/>
          <w:b/>
          <w:szCs w:val="24"/>
        </w:rPr>
      </w:pPr>
      <w:r>
        <w:rPr>
          <w:rFonts w:ascii="彩虹粗仿宋" w:eastAsia="彩虹粗仿宋"/>
          <w:noProof/>
          <w:szCs w:val="24"/>
        </w:rPr>
        <w:drawing>
          <wp:inline distT="0" distB="0" distL="0" distR="0">
            <wp:extent cx="1872615" cy="501015"/>
            <wp:effectExtent l="0" t="0" r="0" b="0"/>
            <wp:docPr id="1" name="图片 1" descr="说明: 说明: WechatIMG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说明: WechatIMG10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32" r="-845" b="21500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E85" w:rsidRDefault="00977E85">
      <w:pPr>
        <w:snapToGrid w:val="0"/>
        <w:spacing w:line="360" w:lineRule="auto"/>
        <w:rPr>
          <w:rFonts w:ascii="彩虹粗仿宋" w:eastAsia="彩虹粗仿宋"/>
          <w:b/>
          <w:sz w:val="24"/>
          <w:szCs w:val="24"/>
        </w:rPr>
      </w:pPr>
    </w:p>
    <w:p w:rsidR="00977E85" w:rsidRDefault="00977E85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977E85" w:rsidRDefault="00977E85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977E85" w:rsidRDefault="00977E85">
      <w:pPr>
        <w:rPr>
          <w:szCs w:val="24"/>
        </w:rPr>
      </w:pPr>
    </w:p>
    <w:p w:rsidR="00977E85" w:rsidRDefault="00BE234C">
      <w:pPr>
        <w:spacing w:line="360" w:lineRule="auto"/>
        <w:jc w:val="center"/>
        <w:rPr>
          <w:rFonts w:ascii="彩虹小标宋" w:eastAsia="彩虹小标宋" w:hAnsi="Calibri"/>
          <w:sz w:val="44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 xml:space="preserve"> 中国民主建国会四川省遂宁市委员会</w:t>
      </w:r>
    </w:p>
    <w:p w:rsidR="00977E85" w:rsidRDefault="00BE234C">
      <w:pPr>
        <w:spacing w:line="360" w:lineRule="auto"/>
        <w:jc w:val="center"/>
        <w:rPr>
          <w:rFonts w:ascii="彩虹小标宋" w:eastAsia="彩虹小标宋" w:hAnsi="Calibri"/>
          <w:sz w:val="44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>2019年部门整体支出</w:t>
      </w:r>
    </w:p>
    <w:p w:rsidR="00977E85" w:rsidRDefault="00977E85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977E85" w:rsidRDefault="00977E85">
      <w:pPr>
        <w:rPr>
          <w:rFonts w:eastAsia="Times New Roman"/>
          <w:szCs w:val="24"/>
        </w:rPr>
      </w:pPr>
    </w:p>
    <w:p w:rsidR="00977E85" w:rsidRDefault="00BE234C">
      <w:pPr>
        <w:spacing w:line="360" w:lineRule="auto"/>
        <w:jc w:val="center"/>
        <w:rPr>
          <w:rFonts w:ascii="彩虹黑体" w:eastAsia="彩虹黑体" w:hAnsi="Calibri"/>
          <w:sz w:val="52"/>
          <w:szCs w:val="24"/>
        </w:rPr>
      </w:pPr>
      <w:r>
        <w:rPr>
          <w:rFonts w:ascii="彩虹黑体" w:eastAsia="彩虹黑体" w:hAnsi="Calibri" w:hint="eastAsia"/>
          <w:sz w:val="52"/>
          <w:szCs w:val="24"/>
        </w:rPr>
        <w:t>绩效评价报告</w:t>
      </w:r>
    </w:p>
    <w:p w:rsidR="00977E85" w:rsidRDefault="00977E85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977E85" w:rsidRDefault="00BE234C">
      <w:pPr>
        <w:ind w:firstLine="640"/>
        <w:jc w:val="center"/>
        <w:rPr>
          <w:rFonts w:ascii="彩虹黑体" w:eastAsia="彩虹黑体" w:hAnsi="Calibri"/>
          <w:sz w:val="32"/>
          <w:szCs w:val="32"/>
        </w:rPr>
      </w:pPr>
      <w:r>
        <w:rPr>
          <w:rFonts w:ascii="彩虹黑体" w:eastAsia="彩虹黑体" w:hAnsi="Calibri" w:hint="eastAsia"/>
          <w:sz w:val="32"/>
          <w:szCs w:val="32"/>
        </w:rPr>
        <w:t>项目编号：JYZX-ZX-SC-2020-0016</w:t>
      </w:r>
    </w:p>
    <w:p w:rsidR="00977E85" w:rsidRDefault="00977E85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977E85" w:rsidRDefault="00977E85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977E85" w:rsidRDefault="00977E85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977E85" w:rsidRDefault="00977E85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977E85" w:rsidRDefault="00977E85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977E85" w:rsidRDefault="00BE234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委托单位：遂宁市财政局</w:t>
      </w:r>
    </w:p>
    <w:p w:rsidR="00977E85" w:rsidRDefault="00977E85"/>
    <w:p w:rsidR="00977E85" w:rsidRDefault="00BE234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评价对象：中国民主建国会四川省遂宁市委员会</w:t>
      </w:r>
    </w:p>
    <w:p w:rsidR="00977E85" w:rsidRDefault="00977E85"/>
    <w:p w:rsidR="00977E85" w:rsidRDefault="00BE234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评价机构：建银工程咨询有限责任公司</w:t>
      </w:r>
    </w:p>
    <w:p w:rsidR="00977E85" w:rsidRDefault="00977E85"/>
    <w:p w:rsidR="00977E85" w:rsidRDefault="00BE234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二零二零年十月</w:t>
      </w:r>
    </w:p>
    <w:p w:rsidR="00977E85" w:rsidRDefault="00BE234C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br w:type="page"/>
      </w:r>
    </w:p>
    <w:p w:rsidR="00977E85" w:rsidRDefault="00977E85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977E85" w:rsidRDefault="00977E85">
      <w:pPr>
        <w:pStyle w:val="1"/>
        <w:tabs>
          <w:tab w:val="right" w:leader="dot" w:pos="8306"/>
        </w:tabs>
        <w:ind w:firstLine="640"/>
        <w:jc w:val="center"/>
        <w:rPr>
          <w:rFonts w:ascii="彩虹黑体" w:eastAsia="彩虹黑体"/>
          <w:sz w:val="32"/>
          <w:szCs w:val="32"/>
        </w:rPr>
      </w:pPr>
    </w:p>
    <w:p w:rsidR="00977E85" w:rsidRDefault="00977E85">
      <w:pPr>
        <w:ind w:firstLine="560"/>
        <w:jc w:val="center"/>
        <w:rPr>
          <w:rFonts w:ascii="彩虹粗仿宋" w:eastAsia="彩虹粗仿宋"/>
          <w:szCs w:val="24"/>
        </w:rPr>
      </w:pPr>
    </w:p>
    <w:p w:rsidR="00977E85" w:rsidRDefault="00977E85">
      <w:pPr>
        <w:ind w:firstLine="560"/>
        <w:jc w:val="center"/>
        <w:rPr>
          <w:rFonts w:ascii="彩虹粗仿宋" w:eastAsia="彩虹粗仿宋"/>
          <w:szCs w:val="24"/>
        </w:rPr>
      </w:pPr>
    </w:p>
    <w:p w:rsidR="00977E85" w:rsidRDefault="00977E85">
      <w:pPr>
        <w:ind w:firstLine="560"/>
        <w:jc w:val="center"/>
        <w:rPr>
          <w:rFonts w:ascii="彩虹粗仿宋" w:eastAsia="彩虹粗仿宋"/>
          <w:szCs w:val="24"/>
        </w:rPr>
      </w:pPr>
    </w:p>
    <w:p w:rsidR="00977E85" w:rsidRDefault="00977E85">
      <w:pPr>
        <w:ind w:firstLine="560"/>
        <w:jc w:val="center"/>
        <w:rPr>
          <w:rFonts w:ascii="彩虹粗仿宋" w:eastAsia="彩虹粗仿宋"/>
          <w:szCs w:val="24"/>
        </w:rPr>
      </w:pPr>
    </w:p>
    <w:p w:rsidR="00977E85" w:rsidRDefault="00BE234C">
      <w:pPr>
        <w:ind w:firstLine="560"/>
        <w:jc w:val="center"/>
        <w:rPr>
          <w:rFonts w:ascii="彩虹小标宋" w:eastAsia="彩虹小标宋" w:hAnsi="Calibri"/>
          <w:sz w:val="44"/>
          <w:szCs w:val="44"/>
        </w:rPr>
      </w:pPr>
      <w:r>
        <w:rPr>
          <w:rFonts w:ascii="彩虹小标宋" w:eastAsia="彩虹小标宋" w:hAnsi="Calibri" w:hint="eastAsia"/>
          <w:sz w:val="44"/>
          <w:szCs w:val="44"/>
        </w:rPr>
        <w:t>中国民主建国会四川省遂宁市委员会</w:t>
      </w:r>
    </w:p>
    <w:p w:rsidR="00977E85" w:rsidRDefault="00BE234C">
      <w:pPr>
        <w:ind w:firstLine="560"/>
        <w:jc w:val="center"/>
        <w:rPr>
          <w:rFonts w:ascii="彩虹小标宋" w:eastAsia="彩虹小标宋" w:hAnsi="Calibri"/>
          <w:sz w:val="44"/>
          <w:szCs w:val="44"/>
        </w:rPr>
      </w:pPr>
      <w:r>
        <w:rPr>
          <w:rFonts w:ascii="彩虹小标宋" w:eastAsia="彩虹小标宋" w:hAnsi="Calibri" w:hint="eastAsia"/>
          <w:sz w:val="44"/>
          <w:szCs w:val="44"/>
        </w:rPr>
        <w:t>2019年部门整体支出</w:t>
      </w:r>
    </w:p>
    <w:p w:rsidR="00977E85" w:rsidRDefault="00977E85">
      <w:pPr>
        <w:ind w:firstLine="560"/>
        <w:rPr>
          <w:rFonts w:ascii="彩虹粗仿宋" w:eastAsia="彩虹粗仿宋"/>
          <w:szCs w:val="24"/>
        </w:rPr>
      </w:pPr>
    </w:p>
    <w:p w:rsidR="00977E85" w:rsidRDefault="00BE234C">
      <w:pPr>
        <w:jc w:val="center"/>
        <w:rPr>
          <w:rFonts w:ascii="彩虹黑体" w:eastAsia="彩虹黑体" w:hAnsi="Calibri"/>
          <w:sz w:val="52"/>
          <w:szCs w:val="52"/>
        </w:rPr>
      </w:pPr>
      <w:r>
        <w:rPr>
          <w:rFonts w:ascii="彩虹黑体" w:eastAsia="彩虹黑体" w:hAnsi="Calibri" w:hint="eastAsia"/>
          <w:sz w:val="52"/>
          <w:szCs w:val="52"/>
        </w:rPr>
        <w:t>绩效评价报告</w:t>
      </w:r>
    </w:p>
    <w:p w:rsidR="00977E85" w:rsidRDefault="00977E85">
      <w:pPr>
        <w:ind w:firstLine="560"/>
        <w:jc w:val="center"/>
        <w:rPr>
          <w:rFonts w:ascii="彩虹粗仿宋" w:eastAsia="彩虹粗仿宋"/>
          <w:szCs w:val="24"/>
        </w:rPr>
      </w:pPr>
    </w:p>
    <w:p w:rsidR="00977E85" w:rsidRDefault="00977E85">
      <w:pPr>
        <w:ind w:firstLine="560"/>
        <w:jc w:val="center"/>
        <w:rPr>
          <w:rFonts w:ascii="彩虹粗仿宋" w:eastAsia="彩虹粗仿宋"/>
          <w:szCs w:val="24"/>
        </w:rPr>
      </w:pPr>
    </w:p>
    <w:p w:rsidR="00977E85" w:rsidRDefault="00977E85">
      <w:pPr>
        <w:rPr>
          <w:rFonts w:ascii="彩虹粗仿宋" w:eastAsia="彩虹粗仿宋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2777"/>
        <w:gridCol w:w="2777"/>
      </w:tblGrid>
      <w:tr w:rsidR="00977E85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评价负责人</w:t>
            </w:r>
          </w:p>
        </w:tc>
        <w:tc>
          <w:tcPr>
            <w:tcW w:w="2777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977E85" w:rsidRDefault="00977E85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977E85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审批</w:t>
            </w:r>
          </w:p>
        </w:tc>
        <w:tc>
          <w:tcPr>
            <w:tcW w:w="2777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张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化生</w:t>
            </w:r>
          </w:p>
        </w:tc>
        <w:tc>
          <w:tcPr>
            <w:tcW w:w="2777" w:type="dxa"/>
            <w:vAlign w:val="center"/>
          </w:tcPr>
          <w:p w:rsidR="00977E85" w:rsidRDefault="00977E85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977E85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审核</w:t>
            </w:r>
          </w:p>
        </w:tc>
        <w:tc>
          <w:tcPr>
            <w:tcW w:w="2777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陈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晓刚</w:t>
            </w:r>
          </w:p>
        </w:tc>
        <w:tc>
          <w:tcPr>
            <w:tcW w:w="2777" w:type="dxa"/>
            <w:vAlign w:val="center"/>
          </w:tcPr>
          <w:p w:rsidR="00977E85" w:rsidRDefault="00977E85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977E85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校核</w:t>
            </w:r>
          </w:p>
        </w:tc>
        <w:tc>
          <w:tcPr>
            <w:tcW w:w="2777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李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瑞浴</w:t>
            </w:r>
            <w:proofErr w:type="gramEnd"/>
          </w:p>
        </w:tc>
        <w:tc>
          <w:tcPr>
            <w:tcW w:w="2777" w:type="dxa"/>
            <w:vAlign w:val="center"/>
          </w:tcPr>
          <w:p w:rsidR="00977E85" w:rsidRDefault="00977E85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977E85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报告撰写人</w:t>
            </w:r>
          </w:p>
        </w:tc>
        <w:tc>
          <w:tcPr>
            <w:tcW w:w="2777" w:type="dxa"/>
            <w:vAlign w:val="center"/>
          </w:tcPr>
          <w:p w:rsidR="00977E85" w:rsidRDefault="00BE234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977E85" w:rsidRDefault="00977E85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</w:tbl>
    <w:p w:rsidR="00977E85" w:rsidRDefault="00977E85">
      <w:pPr>
        <w:ind w:firstLine="560"/>
        <w:rPr>
          <w:rFonts w:ascii="彩虹粗仿宋" w:eastAsia="彩虹粗仿宋"/>
        </w:rPr>
      </w:pPr>
    </w:p>
    <w:p w:rsidR="00977E85" w:rsidRDefault="00977E85">
      <w:pPr>
        <w:widowControl w:val="0"/>
        <w:topLinePunct/>
        <w:autoSpaceDE w:val="0"/>
        <w:spacing w:line="626" w:lineRule="exact"/>
        <w:ind w:firstLineChars="200" w:firstLine="640"/>
        <w:rPr>
          <w:rFonts w:ascii="仿宋_GB2312"/>
          <w:sz w:val="32"/>
          <w:szCs w:val="32"/>
        </w:rPr>
      </w:pPr>
    </w:p>
    <w:p w:rsidR="00977E85" w:rsidRDefault="00977E85">
      <w:pPr>
        <w:jc w:val="left"/>
        <w:rPr>
          <w:rFonts w:ascii="仿宋_GB2312"/>
          <w:sz w:val="32"/>
          <w:szCs w:val="32"/>
        </w:rPr>
        <w:sectPr w:rsidR="00977E85">
          <w:footerReference w:type="default" r:id="rId10"/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977E85" w:rsidRDefault="00BE234C">
      <w:pPr>
        <w:widowControl w:val="0"/>
        <w:topLinePunct/>
        <w:autoSpaceDE w:val="0"/>
        <w:spacing w:line="626" w:lineRule="exact"/>
        <w:jc w:val="center"/>
        <w:rPr>
          <w:rFonts w:ascii="彩虹黑体" w:eastAsia="彩虹黑体"/>
          <w:sz w:val="32"/>
          <w:szCs w:val="32"/>
        </w:rPr>
      </w:pPr>
      <w:r>
        <w:rPr>
          <w:rFonts w:ascii="彩虹黑体" w:eastAsia="彩虹黑体" w:hint="eastAsia"/>
          <w:sz w:val="32"/>
          <w:szCs w:val="32"/>
        </w:rPr>
        <w:lastRenderedPageBreak/>
        <w:t>目 录</w:t>
      </w:r>
    </w:p>
    <w:p w:rsidR="00977E85" w:rsidRDefault="00977E85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</w:p>
    <w:p w:rsidR="00977E85" w:rsidRDefault="00BE234C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fldChar w:fldCharType="begin"/>
      </w:r>
      <w:r>
        <w:rPr>
          <w:rFonts w:ascii="彩虹黑体" w:eastAsia="彩虹黑体" w:hint="eastAsia"/>
          <w:sz w:val="28"/>
          <w:szCs w:val="28"/>
        </w:rPr>
        <w:instrText xml:space="preserve"> TOC \o "1-2" \h \z \u </w:instrText>
      </w:r>
      <w:r>
        <w:rPr>
          <w:rFonts w:ascii="彩虹黑体" w:eastAsia="彩虹黑体" w:hint="eastAsia"/>
          <w:sz w:val="28"/>
          <w:szCs w:val="28"/>
        </w:rPr>
        <w:fldChar w:fldCharType="separate"/>
      </w:r>
      <w:hyperlink w:anchor="_Toc55356957" w:history="1">
        <w:r>
          <w:rPr>
            <w:rStyle w:val="a8"/>
            <w:rFonts w:ascii="彩虹楷体" w:eastAsia="彩虹楷体" w:hint="eastAsia"/>
            <w:sz w:val="28"/>
            <w:szCs w:val="28"/>
          </w:rPr>
          <w:t>一、部门（单位）概况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_Toc55356957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- 1 -</w:t>
        </w:r>
        <w:r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58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（一）机构构成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_Toc55356958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- 1 -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59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（二）机构职能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_Toc55356959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- 1 -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0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（三）人员概况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_Toc55356960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- 1 -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1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二、部门财政资金收支情况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_Toc55356961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- 1 -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2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（一）部门财政资金收入情况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_Toc55356962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- 1 -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3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（二）部门财政支出情况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_Toc55356963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- 1 -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4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三、部门财政支出管理情况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_Toc55356964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- 2 -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5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（一）预算编制情况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_Toc55356965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- 2 -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6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（二）执行管理情况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_Toc55356966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- 2 -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7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（三）综合管理情况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_Toc55356967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- 4 -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8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（四）整体绩效情况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_Toc55356968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- 4 -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69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四、评价结论及建议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_Toc55356969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- 5 -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70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（一）评价结论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_Toc55356970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- 5 -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71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（二）存在问题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_Toc55356971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- 7 -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9B5066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6972" w:history="1">
        <w:r w:rsidR="00BE234C">
          <w:rPr>
            <w:rStyle w:val="a8"/>
            <w:rFonts w:ascii="彩虹楷体" w:eastAsia="彩虹楷体" w:hint="eastAsia"/>
            <w:sz w:val="28"/>
            <w:szCs w:val="28"/>
          </w:rPr>
          <w:t>（三）改进建议</w:t>
        </w:r>
        <w:r w:rsidR="00BE234C">
          <w:rPr>
            <w:sz w:val="28"/>
            <w:szCs w:val="28"/>
          </w:rPr>
          <w:tab/>
        </w:r>
        <w:r w:rsidR="00BE234C">
          <w:rPr>
            <w:sz w:val="28"/>
            <w:szCs w:val="28"/>
          </w:rPr>
          <w:fldChar w:fldCharType="begin"/>
        </w:r>
        <w:r w:rsidR="00BE234C">
          <w:rPr>
            <w:sz w:val="28"/>
            <w:szCs w:val="28"/>
          </w:rPr>
          <w:instrText xml:space="preserve"> PAGEREF _Toc55356972 \h </w:instrText>
        </w:r>
        <w:r w:rsidR="00BE234C">
          <w:rPr>
            <w:sz w:val="28"/>
            <w:szCs w:val="28"/>
          </w:rPr>
        </w:r>
        <w:r w:rsidR="00BE234C">
          <w:rPr>
            <w:sz w:val="28"/>
            <w:szCs w:val="28"/>
          </w:rPr>
          <w:fldChar w:fldCharType="separate"/>
        </w:r>
        <w:r w:rsidR="00BE234C">
          <w:rPr>
            <w:sz w:val="28"/>
            <w:szCs w:val="28"/>
          </w:rPr>
          <w:t>- 7 -</w:t>
        </w:r>
        <w:r w:rsidR="00BE234C">
          <w:rPr>
            <w:sz w:val="28"/>
            <w:szCs w:val="28"/>
          </w:rPr>
          <w:fldChar w:fldCharType="end"/>
        </w:r>
      </w:hyperlink>
    </w:p>
    <w:p w:rsidR="00977E85" w:rsidRDefault="00BE234C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  <w:r>
        <w:rPr>
          <w:rFonts w:ascii="彩虹黑体" w:eastAsia="彩虹黑体" w:hint="eastAsia"/>
          <w:sz w:val="28"/>
          <w:szCs w:val="28"/>
        </w:rPr>
        <w:fldChar w:fldCharType="end"/>
      </w:r>
    </w:p>
    <w:p w:rsidR="00977E85" w:rsidRDefault="00977E85">
      <w:pPr>
        <w:jc w:val="left"/>
        <w:rPr>
          <w:rFonts w:ascii="仿宋_GB2312"/>
          <w:sz w:val="32"/>
          <w:szCs w:val="32"/>
        </w:rPr>
        <w:sectPr w:rsidR="00977E85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977E85" w:rsidRDefault="00BE234C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lastRenderedPageBreak/>
        <w:t>中国民主建国会四川省遂宁市委员会2019年部门整体支出</w:t>
      </w:r>
    </w:p>
    <w:p w:rsidR="00977E85" w:rsidRDefault="00BE234C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t>绩效评价报告</w:t>
      </w:r>
    </w:p>
    <w:p w:rsidR="00977E85" w:rsidRDefault="00977E85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</w:p>
    <w:p w:rsidR="00977E85" w:rsidRDefault="00BE234C">
      <w:pPr>
        <w:widowControl w:val="0"/>
        <w:topLinePunct/>
        <w:autoSpaceDE w:val="0"/>
        <w:spacing w:line="626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要求，建银工程咨询有限责任公司接受遂宁市财政局的委托，于2020年7月下旬开始对遂宁市本级财政支出进行绩效评价工作。根据工作要求，咨询公司和遂宁市财政局相关人员成立了评价工作组，对部门整体支出情况进行评价。</w:t>
      </w:r>
    </w:p>
    <w:p w:rsidR="00977E85" w:rsidRDefault="00BE234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0" w:name="_Toc55356957"/>
      <w:bookmarkStart w:id="1" w:name="_Toc53088370"/>
      <w:r>
        <w:rPr>
          <w:rFonts w:ascii="彩虹楷体" w:eastAsia="彩虹楷体" w:hint="eastAsia"/>
          <w:sz w:val="28"/>
        </w:rPr>
        <w:t>一、部门（单位）概况</w:t>
      </w:r>
      <w:bookmarkEnd w:id="0"/>
      <w:bookmarkEnd w:id="1"/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2" w:name="_Toc55356958"/>
      <w:r>
        <w:rPr>
          <w:rFonts w:ascii="彩虹楷体" w:eastAsia="彩虹楷体" w:hint="eastAsia"/>
        </w:rPr>
        <w:t>（一）机构构成</w:t>
      </w:r>
      <w:bookmarkEnd w:id="2"/>
    </w:p>
    <w:p w:rsidR="00977E85" w:rsidRDefault="008A5765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中国</w:t>
      </w:r>
      <w:r w:rsidR="00BE234C">
        <w:rPr>
          <w:rFonts w:ascii="彩虹粗仿宋" w:eastAsia="彩虹粗仿宋" w:hAnsi="彩虹粗仿宋" w:cs="彩虹粗仿宋" w:hint="eastAsia"/>
          <w:bCs/>
          <w:sz w:val="24"/>
          <w:szCs w:val="24"/>
        </w:rPr>
        <w:t>民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主建国会四川省遂宁市委员会</w:t>
      </w:r>
      <w:r w:rsidR="00A6591A">
        <w:rPr>
          <w:rFonts w:ascii="彩虹粗仿宋" w:eastAsia="彩虹粗仿宋" w:hAnsi="彩虹粗仿宋" w:cs="彩虹粗仿宋" w:hint="eastAsia"/>
          <w:bCs/>
          <w:sz w:val="24"/>
          <w:szCs w:val="24"/>
        </w:rPr>
        <w:t>（以下简称“民建遂宁市委”）</w:t>
      </w:r>
      <w:r w:rsidR="00BE234C">
        <w:rPr>
          <w:rFonts w:ascii="彩虹粗仿宋" w:eastAsia="彩虹粗仿宋" w:hAnsi="彩虹粗仿宋" w:cs="彩虹粗仿宋" w:hint="eastAsia"/>
          <w:bCs/>
          <w:sz w:val="24"/>
          <w:szCs w:val="24"/>
        </w:rPr>
        <w:t>无下属二级预算单位。</w:t>
      </w:r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3" w:name="_Toc55356959"/>
      <w:r>
        <w:rPr>
          <w:rFonts w:ascii="彩虹楷体" w:eastAsia="彩虹楷体" w:hint="eastAsia"/>
        </w:rPr>
        <w:t>（二）机构职能</w:t>
      </w:r>
      <w:bookmarkEnd w:id="3"/>
    </w:p>
    <w:p w:rsidR="00977E85" w:rsidRDefault="00BE234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8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主要职能是履行参政议政、民主监督、社会服务，为遂宁的经济发展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作出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应有贡献。</w:t>
      </w:r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4" w:name="_Toc55356960"/>
      <w:r>
        <w:rPr>
          <w:rFonts w:ascii="彩虹楷体" w:eastAsia="彩虹楷体" w:hint="eastAsia"/>
        </w:rPr>
        <w:t>（三）人员概况</w:t>
      </w:r>
      <w:bookmarkEnd w:id="4"/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1.机关有2个内设科室：办公室、宣传调研参政议政科</w:t>
      </w:r>
      <w:r w:rsidR="008A5765">
        <w:rPr>
          <w:rFonts w:ascii="彩虹粗仿宋" w:eastAsia="彩虹粗仿宋" w:hAnsi="彩虹粗仿宋" w:cs="彩虹粗仿宋" w:hint="eastAsia"/>
          <w:sz w:val="24"/>
          <w:szCs w:val="24"/>
        </w:rPr>
        <w:t>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/>
          <w:sz w:val="24"/>
          <w:szCs w:val="32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2.现有编制人员4人，4人均为行政编制。</w:t>
      </w:r>
    </w:p>
    <w:p w:rsidR="00977E85" w:rsidRDefault="00BE234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5" w:name="_Toc55356961"/>
      <w:bookmarkStart w:id="6" w:name="_Toc53088371"/>
      <w:r>
        <w:rPr>
          <w:rFonts w:ascii="彩虹楷体" w:eastAsia="彩虹楷体" w:hint="eastAsia"/>
          <w:sz w:val="28"/>
        </w:rPr>
        <w:t>二、部门财政资金收支情况</w:t>
      </w:r>
      <w:bookmarkEnd w:id="5"/>
      <w:bookmarkEnd w:id="6"/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7" w:name="_Toc55356962"/>
      <w:r>
        <w:rPr>
          <w:rFonts w:ascii="彩虹楷体" w:eastAsia="彩虹楷体" w:hint="eastAsia"/>
        </w:rPr>
        <w:t>（一）部门财政资金收入情况</w:t>
      </w:r>
      <w:bookmarkEnd w:id="7"/>
    </w:p>
    <w:p w:rsidR="00977E85" w:rsidRDefault="00BE234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年初收入总预算数为95.49万元，其中年初预算95.49万元，年初财政拨款结转和结余0万元。年末收入总决算数为96.90万元，其中财政拨款收入决算为95.65万元，年初财政拨款结转和结余1.25万元。</w:t>
      </w:r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8" w:name="_Toc55356963"/>
      <w:r>
        <w:rPr>
          <w:rFonts w:ascii="彩虹楷体" w:eastAsia="彩虹楷体" w:hint="eastAsia"/>
        </w:rPr>
        <w:t>（二）部门财政支出情况</w:t>
      </w:r>
      <w:bookmarkEnd w:id="8"/>
    </w:p>
    <w:p w:rsidR="00977E85" w:rsidRDefault="00BE234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 w:rsidR="008A5765">
        <w:rPr>
          <w:rFonts w:ascii="彩虹粗仿宋" w:eastAsia="彩虹粗仿宋" w:hAnsi="彩虹粗仿宋" w:cs="彩虹粗仿宋" w:hint="eastAsia"/>
          <w:sz w:val="24"/>
          <w:szCs w:val="24"/>
        </w:rPr>
        <w:t>民建遂宁市委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年初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支出总预算数为95.49万元，其中基本支出56.89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lastRenderedPageBreak/>
        <w:t>万元（包括人员经费47.03万元、日常公用经费9.86万元），项目支出38.6万元。年末支出总决算数为96.90万元，其中：基本支出58.45万元（包括人员经费50.36万元、日常公用经费8.09万元），项目支出37.20万元，年末财政拨款结转1.25万元。</w:t>
      </w:r>
    </w:p>
    <w:p w:rsidR="00977E85" w:rsidRDefault="00BE234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9" w:name="_Toc52802079"/>
      <w:bookmarkStart w:id="10" w:name="_Toc55356964"/>
      <w:bookmarkStart w:id="11" w:name="_Toc53088372"/>
      <w:r>
        <w:rPr>
          <w:rFonts w:ascii="彩虹楷体" w:eastAsia="彩虹楷体" w:hint="eastAsia"/>
          <w:sz w:val="28"/>
        </w:rPr>
        <w:t>三、</w:t>
      </w:r>
      <w:bookmarkEnd w:id="9"/>
      <w:r>
        <w:rPr>
          <w:rFonts w:ascii="彩虹楷体" w:eastAsia="彩虹楷体" w:hint="eastAsia"/>
          <w:sz w:val="28"/>
        </w:rPr>
        <w:t>部门财政支出管理情况</w:t>
      </w:r>
      <w:bookmarkEnd w:id="10"/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2" w:name="_Toc55356965"/>
      <w:r>
        <w:rPr>
          <w:rFonts w:ascii="彩虹楷体" w:eastAsia="彩虹楷体" w:hint="eastAsia"/>
        </w:rPr>
        <w:t>（一）预算编制情况</w:t>
      </w:r>
      <w:bookmarkEnd w:id="12"/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1.预算编制质量</w:t>
      </w:r>
    </w:p>
    <w:p w:rsidR="0008120C" w:rsidRDefault="00BE234C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表3.1 2019年调整预算收入情况</w:t>
      </w:r>
    </w:p>
    <w:p w:rsidR="00977E85" w:rsidRDefault="0008120C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 单位：万元</w:t>
      </w:r>
    </w:p>
    <w:tbl>
      <w:tblPr>
        <w:tblW w:w="9148" w:type="dxa"/>
        <w:tblInd w:w="93" w:type="dxa"/>
        <w:tblLook w:val="04A0" w:firstRow="1" w:lastRow="0" w:firstColumn="1" w:lastColumn="0" w:noHBand="0" w:noVBand="1"/>
      </w:tblPr>
      <w:tblGrid>
        <w:gridCol w:w="1212"/>
        <w:gridCol w:w="1240"/>
        <w:gridCol w:w="1296"/>
        <w:gridCol w:w="1378"/>
        <w:gridCol w:w="1460"/>
        <w:gridCol w:w="1350"/>
        <w:gridCol w:w="1212"/>
      </w:tblGrid>
      <w:tr w:rsidR="00977E85">
        <w:trPr>
          <w:trHeight w:val="740"/>
        </w:trPr>
        <w:tc>
          <w:tcPr>
            <w:tcW w:w="3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预算收入调整比例</w:t>
            </w:r>
          </w:p>
        </w:tc>
      </w:tr>
      <w:tr w:rsidR="00977E85">
        <w:trPr>
          <w:trHeight w:val="673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977E85" w:rsidTr="008A5765">
        <w:trPr>
          <w:trHeight w:val="74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95.49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95.49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96.90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95.65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1.25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1.48%</w:t>
            </w:r>
          </w:p>
        </w:tc>
      </w:tr>
    </w:tbl>
    <w:p w:rsidR="00977E85" w:rsidRDefault="00977E85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</w:pPr>
    </w:p>
    <w:p w:rsidR="0008120C" w:rsidRDefault="00BE234C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表3.2 2019年调整预算支出情况</w:t>
      </w:r>
    </w:p>
    <w:p w:rsidR="00977E85" w:rsidRDefault="0008120C">
      <w:pPr>
        <w:spacing w:line="360" w:lineRule="auto"/>
        <w:jc w:val="center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 </w:t>
      </w:r>
      <w:r w:rsidR="00BE234C"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234" w:type="dxa"/>
        <w:tblInd w:w="93" w:type="dxa"/>
        <w:tblLook w:val="04A0" w:firstRow="1" w:lastRow="0" w:firstColumn="1" w:lastColumn="0" w:noHBand="0" w:noVBand="1"/>
      </w:tblPr>
      <w:tblGrid>
        <w:gridCol w:w="850"/>
        <w:gridCol w:w="849"/>
        <w:gridCol w:w="850"/>
        <w:gridCol w:w="787"/>
        <w:gridCol w:w="890"/>
        <w:gridCol w:w="910"/>
        <w:gridCol w:w="850"/>
        <w:gridCol w:w="850"/>
        <w:gridCol w:w="767"/>
        <w:gridCol w:w="890"/>
        <w:gridCol w:w="741"/>
      </w:tblGrid>
      <w:tr w:rsidR="00977E85">
        <w:trPr>
          <w:trHeight w:val="284"/>
        </w:trPr>
        <w:tc>
          <w:tcPr>
            <w:tcW w:w="4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预算支出调整比例</w:t>
            </w:r>
          </w:p>
        </w:tc>
      </w:tr>
      <w:tr w:rsidR="00977E85">
        <w:trPr>
          <w:trHeight w:val="284"/>
        </w:trPr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977E85">
        <w:trPr>
          <w:trHeight w:val="473"/>
        </w:trPr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977E85">
        <w:trPr>
          <w:trHeight w:val="82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95.49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56.89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47.03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9.86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38.60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96.90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59.70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51.61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8.09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37.20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1.48%</w:t>
            </w:r>
          </w:p>
        </w:tc>
      </w:tr>
    </w:tbl>
    <w:p w:rsidR="008A5765" w:rsidRDefault="008A5765" w:rsidP="008A5765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</w:pPr>
    </w:p>
    <w:p w:rsidR="00977E85" w:rsidRDefault="00BE234C" w:rsidP="008A5765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2.绩效目标填报</w:t>
      </w:r>
    </w:p>
    <w:p w:rsidR="0008120C" w:rsidRPr="0008120C" w:rsidRDefault="00BE234C" w:rsidP="0008120C">
      <w:pPr>
        <w:ind w:firstLineChars="200" w:firstLine="480"/>
        <w:rPr>
          <w:rFonts w:eastAsia="宋体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2019年初，民建遂宁市委提交了《部门（单位）整体支出绩效目标申报表》，市财政局给予了批复。</w:t>
      </w:r>
      <w:r w:rsidR="0008120C" w:rsidRPr="0008120C">
        <w:rPr>
          <w:rFonts w:ascii="彩虹粗仿宋" w:eastAsia="彩虹粗仿宋" w:hint="eastAsia"/>
          <w:sz w:val="24"/>
          <w:szCs w:val="24"/>
        </w:rPr>
        <w:t>绩效目标填报符合机构职能及绩效目标编制要求，项目支出主要为党派成员活动。现场评价未发现基本支出和项目支出混用的情况。</w:t>
      </w:r>
    </w:p>
    <w:p w:rsidR="00977E85" w:rsidRPr="0008120C" w:rsidRDefault="00977E85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3" w:name="_Toc55356966"/>
      <w:r>
        <w:rPr>
          <w:rFonts w:ascii="彩虹楷体" w:eastAsia="彩虹楷体" w:hint="eastAsia"/>
        </w:rPr>
        <w:lastRenderedPageBreak/>
        <w:t>（二）执行管理情况</w:t>
      </w:r>
      <w:bookmarkEnd w:id="13"/>
    </w:p>
    <w:p w:rsidR="00977E85" w:rsidRDefault="00BE234C">
      <w:pPr>
        <w:tabs>
          <w:tab w:val="left" w:pos="312"/>
        </w:tabs>
        <w:spacing w:line="360" w:lineRule="auto"/>
        <w:ind w:left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1.预算执行进度情况</w:t>
      </w:r>
    </w:p>
    <w:p w:rsidR="00977E85" w:rsidRDefault="00BE234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民建遂宁市委财政拨款</w:t>
      </w:r>
      <w:r>
        <w:rPr>
          <w:rFonts w:ascii="彩虹粗仿宋" w:eastAsia="彩虹粗仿宋" w:hAnsi="彩虹粗仿宋" w:cs="彩虹粗仿宋" w:hint="eastAsia"/>
          <w:sz w:val="24"/>
        </w:rPr>
        <w:t>支出调整预算数为96.90万元，支出的决算数为95.65万元，预算执行进度为98.71%。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2.中期评估</w:t>
      </w:r>
    </w:p>
    <w:p w:rsidR="00977E85" w:rsidRDefault="00BE234C">
      <w:pPr>
        <w:spacing w:line="360" w:lineRule="auto"/>
        <w:ind w:firstLine="480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t>2019年度，民建遂宁市委市直党派成员活动经费预算数28.1万元，1—7月应执行数17.9万元，1—7月实际执行数16.39万元，执行比例91.56%。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3.节能降耗及“三公”经费预算执行情况</w:t>
      </w:r>
    </w:p>
    <w:p w:rsidR="0008120C" w:rsidRDefault="00BE234C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表3.3 </w:t>
      </w:r>
      <w:r>
        <w:rPr>
          <w:rFonts w:ascii="彩虹粗仿宋" w:eastAsia="彩虹粗仿宋" w:hAnsi="彩虹粗仿宋" w:cs="彩虹粗仿宋" w:hint="eastAsia"/>
          <w:b/>
        </w:rPr>
        <w:t>办公费、印刷费等费用预决算偏差程度</w:t>
      </w:r>
    </w:p>
    <w:p w:rsidR="00977E85" w:rsidRDefault="0008120C">
      <w:pPr>
        <w:spacing w:line="360" w:lineRule="auto"/>
        <w:jc w:val="center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</w:t>
      </w:r>
      <w:r w:rsidR="00BE234C"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001" w:type="dxa"/>
        <w:tblInd w:w="93" w:type="dxa"/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1"/>
      </w:tblGrid>
      <w:tr w:rsidR="00977E85">
        <w:trPr>
          <w:trHeight w:val="33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费用项目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预算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决算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预算执行进度</w:t>
            </w:r>
          </w:p>
        </w:tc>
      </w:tr>
      <w:tr w:rsidR="00977E85">
        <w:trPr>
          <w:trHeight w:val="333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办公费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1.30 </w:t>
            </w:r>
            <w:r w:rsidR="00097C88">
              <w:rPr>
                <w:rFonts w:ascii="彩虹粗仿宋" w:eastAsia="彩虹粗仿宋" w:hAnsi="宋体" w:cs="宋体" w:hint="eastAsia"/>
                <w:color w:val="000000"/>
              </w:rPr>
              <w:t>（基本支出）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8914A2" w:rsidP="00EF2E26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0.</w:t>
            </w:r>
            <w:r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  <w:t>61</w:t>
            </w:r>
            <w:r w:rsidR="00BE234C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EF2E26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47.03</w:t>
            </w:r>
            <w:r w:rsidR="00BE234C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977E85">
        <w:trPr>
          <w:trHeight w:val="333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印刷费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097C88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1.30 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>项目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3.23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248.30%</w:t>
            </w:r>
          </w:p>
        </w:tc>
      </w:tr>
      <w:tr w:rsidR="00977E85">
        <w:trPr>
          <w:trHeight w:val="333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水费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6B10C4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—</w:t>
            </w:r>
          </w:p>
        </w:tc>
      </w:tr>
      <w:tr w:rsidR="00977E85">
        <w:trPr>
          <w:trHeight w:val="333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电费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6B10C4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—</w:t>
            </w:r>
          </w:p>
        </w:tc>
      </w:tr>
      <w:tr w:rsidR="00977E85">
        <w:trPr>
          <w:trHeight w:val="333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物业管理费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573B39" w:rsidP="00B74593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0.</w:t>
            </w:r>
            <w:r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  <w:t>4</w:t>
            </w:r>
            <w:r w:rsidR="00B74593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8</w:t>
            </w:r>
            <w:r w:rsidR="00B74593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（</w:t>
            </w:r>
            <w:r w:rsidR="00AE0B3E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B74593">
              <w:rPr>
                <w:rFonts w:ascii="彩虹粗仿宋" w:eastAsia="彩虹粗仿宋" w:hAnsi="宋体" w:cs="宋体" w:hint="eastAsia"/>
                <w:color w:val="000000"/>
              </w:rPr>
              <w:t>支出</w:t>
            </w:r>
            <w:r w:rsidR="00B74593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6B10C4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—</w:t>
            </w:r>
          </w:p>
        </w:tc>
      </w:tr>
      <w:tr w:rsidR="00977E85">
        <w:trPr>
          <w:trHeight w:val="333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 xml:space="preserve">2.60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74593" w:rsidP="00B74593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 w:rsidP="00577B3F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1</w:t>
            </w:r>
            <w:r w:rsidR="00577B3F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66.12</w:t>
            </w: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977E85">
        <w:trPr>
          <w:trHeight w:val="333"/>
        </w:trPr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预决算偏差</w:t>
            </w: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7E85" w:rsidRDefault="000A457C" w:rsidP="000A457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6</w:t>
            </w:r>
            <w:r w:rsidR="00BE234C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6.</w:t>
            </w: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12</w:t>
            </w:r>
            <w:r w:rsidR="00BE234C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%</w:t>
            </w:r>
          </w:p>
        </w:tc>
      </w:tr>
    </w:tbl>
    <w:p w:rsidR="00977E85" w:rsidRDefault="003A46A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见</w:t>
      </w:r>
      <w:r w:rsidR="00BE234C">
        <w:rPr>
          <w:rFonts w:ascii="彩虹粗仿宋" w:eastAsia="彩虹粗仿宋" w:hAnsi="彩虹粗仿宋" w:cs="彩虹粗仿宋" w:hint="eastAsia"/>
          <w:sz w:val="24"/>
          <w:szCs w:val="24"/>
        </w:rPr>
        <w:t>表3.3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，节能降耗涉及</w:t>
      </w:r>
      <w:r w:rsidR="00BE234C">
        <w:rPr>
          <w:rFonts w:ascii="彩虹粗仿宋" w:eastAsia="彩虹粗仿宋" w:hAnsi="彩虹粗仿宋" w:cs="彩虹粗仿宋" w:hint="eastAsia"/>
          <w:sz w:val="24"/>
          <w:szCs w:val="24"/>
        </w:rPr>
        <w:t>水费和电费的费用控制，</w:t>
      </w:r>
      <w:r w:rsidR="00BE234C">
        <w:rPr>
          <w:rFonts w:ascii="彩虹粗仿宋" w:eastAsia="彩虹粗仿宋" w:hint="eastAsia"/>
          <w:sz w:val="24"/>
          <w:szCs w:val="24"/>
        </w:rPr>
        <w:t>民建遂宁市委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水费和电费的2018年决算数、2019年预算数和2019年决算数都为0，因此，不对该部门整体进行节能降耗的绩效评价</w:t>
      </w:r>
      <w:r w:rsidR="00BE234C">
        <w:rPr>
          <w:rFonts w:ascii="彩虹粗仿宋" w:eastAsia="彩虹粗仿宋" w:hAnsi="彩虹粗仿宋" w:cs="彩虹粗仿宋" w:hint="eastAsia"/>
          <w:sz w:val="24"/>
          <w:szCs w:val="24"/>
        </w:rPr>
        <w:t>。</w:t>
      </w:r>
    </w:p>
    <w:p w:rsidR="0008120C" w:rsidRDefault="00BE234C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表3.4 “三公”经费预算执行情况</w:t>
      </w:r>
    </w:p>
    <w:p w:rsidR="00977E85" w:rsidRDefault="0008120C">
      <w:pPr>
        <w:spacing w:line="360" w:lineRule="auto"/>
        <w:jc w:val="center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</w:t>
      </w:r>
      <w:r w:rsidR="00BE234C"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946"/>
        <w:gridCol w:w="1159"/>
        <w:gridCol w:w="1112"/>
        <w:gridCol w:w="875"/>
        <w:gridCol w:w="946"/>
        <w:gridCol w:w="1183"/>
        <w:gridCol w:w="970"/>
        <w:gridCol w:w="875"/>
        <w:gridCol w:w="994"/>
      </w:tblGrid>
      <w:tr w:rsidR="00977E85">
        <w:trPr>
          <w:trHeight w:val="575"/>
        </w:trPr>
        <w:tc>
          <w:tcPr>
            <w:tcW w:w="4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2019年“三公”经费预算</w:t>
            </w:r>
          </w:p>
        </w:tc>
        <w:tc>
          <w:tcPr>
            <w:tcW w:w="39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</w:t>
            </w:r>
            <w:r w:rsidR="00EB2057"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“三公”经费预算执行率</w:t>
            </w:r>
          </w:p>
        </w:tc>
      </w:tr>
      <w:tr w:rsidR="00977E85">
        <w:trPr>
          <w:trHeight w:val="64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977E85">
        <w:trPr>
          <w:trHeight w:val="57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1.60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1.60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1.30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1.30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81.19%</w:t>
            </w:r>
          </w:p>
        </w:tc>
      </w:tr>
    </w:tbl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sz w:val="24"/>
        </w:rPr>
        <w:lastRenderedPageBreak/>
        <w:t>2018年，</w:t>
      </w:r>
      <w:r>
        <w:rPr>
          <w:rFonts w:ascii="彩虹粗仿宋" w:eastAsia="彩虹粗仿宋" w:hint="eastAsia"/>
          <w:sz w:val="24"/>
          <w:szCs w:val="24"/>
        </w:rPr>
        <w:t>民建遂宁市委</w:t>
      </w:r>
      <w:r>
        <w:rPr>
          <w:rFonts w:ascii="彩虹粗仿宋" w:eastAsia="彩虹粗仿宋" w:hAnsi="彩虹粗仿宋" w:cs="彩虹粗仿宋" w:hint="eastAsia"/>
          <w:sz w:val="24"/>
        </w:rPr>
        <w:t>因公出国（境）费、公务用车运行维护费、公务接待费的费用执行分别为0万元、0万元、2.4万元， 2019年“三公经费”执行相比2018年降低了45.88%。</w:t>
      </w:r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4" w:name="_Toc55356967"/>
      <w:r>
        <w:rPr>
          <w:rFonts w:ascii="彩虹楷体" w:eastAsia="彩虹楷体" w:hint="eastAsia"/>
        </w:rPr>
        <w:t>（三）综合管理情况</w:t>
      </w:r>
      <w:bookmarkEnd w:id="14"/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1.政府性债务管理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民建遂宁市委不涉及政府性债务管理。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2.非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税收入执收</w:t>
      </w:r>
      <w:proofErr w:type="gramEnd"/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民建遂宁市委2019年非税收入为0。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3.政府采购实施计划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民建遂宁市委采购实施计划与政府采购预算的执行计划一致。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4.资产管理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民建遂宁市委进行了资产清查工作，将国有资产纳入资产信息系统管理，按要求及时、准确、全面开展资产清查工作，上报国有资产报表数据。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5.内控制度管理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民建遂宁市委建立了内部控制制度，没有出现廉政风险或发生重大责任事故。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6.信息公开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民建遂宁市委2019年部门预算已于2019年4月在遂宁市政府网站政府信息公开板块进行了公开，绩效目标亦按相关要求进行了公开。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7.绩效评价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〔2020〕12号）的要求，对部门2019年整体财政支出绩效进行了自评，并出具了自评报告及评分表。</w:t>
      </w:r>
    </w:p>
    <w:p w:rsidR="0008120C" w:rsidRDefault="0008120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8.财政监督情况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民建遂宁市委按照上级要求，对2019年的财政收支情况进行了自查，并提供了自查报告，截至评价工作组现场评价时间，暂未收到相关反馈和整改建议。</w:t>
      </w:r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5" w:name="_Toc55356968"/>
      <w:r>
        <w:rPr>
          <w:rFonts w:ascii="彩虹楷体" w:eastAsia="彩虹楷体" w:hint="eastAsia"/>
        </w:rPr>
        <w:t>（四）整体绩效情况</w:t>
      </w:r>
      <w:bookmarkEnd w:id="15"/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</w:t>
      </w:r>
      <w:r w:rsidR="008A5765">
        <w:rPr>
          <w:rFonts w:ascii="彩虹粗仿宋" w:eastAsia="彩虹粗仿宋" w:hAnsi="彩虹粗仿宋" w:cs="彩虹粗仿宋" w:hint="eastAsia"/>
          <w:sz w:val="24"/>
          <w:szCs w:val="24"/>
        </w:rPr>
        <w:t>.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重点项目绩效评价结果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大部分</w:t>
      </w:r>
      <w:r>
        <w:rPr>
          <w:rFonts w:ascii="彩虹粗仿宋" w:eastAsia="彩虹粗仿宋" w:hAnsi="彩虹粗仿宋" w:cs="彩虹粗仿宋"/>
          <w:sz w:val="24"/>
          <w:szCs w:val="24"/>
        </w:rPr>
        <w:t>项目进展执行良好，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部分项目执行进度和完成度有待进一步提高和完善。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2.部门职能完成情况</w:t>
      </w:r>
    </w:p>
    <w:p w:rsidR="00977E85" w:rsidRDefault="00BE234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根据《部门（单位）整体支出绩效目标批复表》，民建遂宁市委的全年目标任务为4项，即加强自身建设</w:t>
      </w:r>
      <w:r>
        <w:rPr>
          <w:rFonts w:ascii="彩虹粗仿宋" w:eastAsia="彩虹粗仿宋" w:hAnsi="彩虹粗仿宋" w:cs="彩虹粗仿宋"/>
          <w:sz w:val="24"/>
          <w:szCs w:val="24"/>
        </w:rPr>
        <w:t>、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加强参政议政、加强宣传信息和新会员培训、加强市直组织建设，各项</w:t>
      </w:r>
      <w:r>
        <w:rPr>
          <w:rFonts w:ascii="彩虹粗仿宋" w:eastAsia="彩虹粗仿宋" w:hAnsi="彩虹粗仿宋" w:cs="彩虹粗仿宋"/>
          <w:sz w:val="24"/>
          <w:szCs w:val="24"/>
        </w:rPr>
        <w:t>工作均圆满完成。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 xml:space="preserve"> </w:t>
      </w:r>
    </w:p>
    <w:p w:rsidR="00977E85" w:rsidRDefault="00BE234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16" w:name="_Toc55356969"/>
      <w:r>
        <w:rPr>
          <w:rFonts w:ascii="彩虹楷体" w:eastAsia="彩虹楷体" w:hint="eastAsia"/>
          <w:sz w:val="28"/>
        </w:rPr>
        <w:t>四、评价结论及建议</w:t>
      </w:r>
      <w:bookmarkEnd w:id="16"/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7" w:name="_Toc55356970"/>
      <w:r>
        <w:rPr>
          <w:rFonts w:ascii="彩虹楷体" w:eastAsia="彩虹楷体" w:hint="eastAsia"/>
        </w:rPr>
        <w:t>（一）评价结论</w:t>
      </w:r>
      <w:bookmarkEnd w:id="17"/>
    </w:p>
    <w:p w:rsidR="00977E85" w:rsidRDefault="00BE234C">
      <w:pPr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  <w:sectPr w:rsidR="00977E85">
          <w:footerReference w:type="default" r:id="rId11"/>
          <w:pgSz w:w="11905" w:h="16838"/>
          <w:pgMar w:top="1531" w:right="1418" w:bottom="1531" w:left="1418" w:header="851" w:footer="992" w:gutter="0"/>
          <w:pgNumType w:fmt="numberInDash" w:start="1"/>
          <w:cols w:space="720"/>
          <w:docGrid w:type="lines" w:linePitch="290"/>
        </w:sect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总体来看，民建遂宁市委2019年度的预算报送及时合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规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、财务核算较为规范、内控制度建设较完善，完成了各项目标任务。但在预算编制及执行进度等方面还存在一些问题。民建遂宁市委绩效评价得分94.87分。</w:t>
      </w:r>
    </w:p>
    <w:p w:rsidR="00977E85" w:rsidRDefault="00BE234C">
      <w:pPr>
        <w:spacing w:line="360" w:lineRule="auto"/>
        <w:ind w:firstLineChars="1600" w:firstLine="3855"/>
      </w:pPr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lastRenderedPageBreak/>
        <w:t>表4.1 民建遂宁市委2019年部门整体绩效评价评分表</w:t>
      </w:r>
    </w:p>
    <w:tbl>
      <w:tblPr>
        <w:tblW w:w="135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8"/>
        <w:gridCol w:w="1200"/>
        <w:gridCol w:w="1562"/>
        <w:gridCol w:w="1200"/>
        <w:gridCol w:w="1003"/>
        <w:gridCol w:w="1068"/>
        <w:gridCol w:w="5984"/>
      </w:tblGrid>
      <w:tr w:rsidR="00977E85">
        <w:trPr>
          <w:trHeight w:val="530"/>
        </w:trPr>
        <w:tc>
          <w:tcPr>
            <w:tcW w:w="4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绩效指标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指标分值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彩虹粗仿宋" w:cs="彩虹粗仿宋"/>
                <w:b/>
                <w:bCs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  <w:b/>
                <w:bCs/>
                <w:kern w:val="2"/>
              </w:rPr>
              <w:t>民建遂宁市委</w:t>
            </w:r>
          </w:p>
        </w:tc>
      </w:tr>
      <w:tr w:rsidR="00977E85">
        <w:trPr>
          <w:trHeight w:val="474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一级指标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二级指标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三级指标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得分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扣分理由</w:t>
            </w:r>
          </w:p>
        </w:tc>
      </w:tr>
      <w:tr w:rsidR="00977E85">
        <w:trPr>
          <w:trHeight w:val="482"/>
        </w:trPr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部门预算管理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目标制定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预算精细化度不够细化</w:t>
            </w:r>
          </w:p>
        </w:tc>
      </w:tr>
      <w:tr w:rsidR="00977E85">
        <w:trPr>
          <w:trHeight w:val="581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目标实现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977E85">
        <w:trPr>
          <w:trHeight w:val="569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编制准确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</w:tr>
      <w:tr w:rsidR="00977E85">
        <w:trPr>
          <w:trHeight w:val="531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预算执行</w:t>
            </w:r>
          </w:p>
          <w:p w:rsidR="00977E85" w:rsidRDefault="00BE234C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                              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支出控制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51ED1">
            <w:pPr>
              <w:jc w:val="left"/>
              <w:rPr>
                <w:rFonts w:ascii="彩虹粗仿宋" w:eastAsia="彩虹粗仿宋" w:hAnsi="宋体" w:cs="宋体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印刷</w:t>
            </w:r>
            <w:r w:rsidR="008A3A0A">
              <w:rPr>
                <w:rFonts w:ascii="彩虹粗仿宋" w:eastAsia="彩虹粗仿宋" w:hAnsi="宋体" w:cs="宋体" w:hint="eastAsia"/>
                <w:color w:val="000000"/>
              </w:rPr>
              <w:t>费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>、物业管理</w:t>
            </w:r>
            <w:r w:rsidR="00BE234C">
              <w:rPr>
                <w:rFonts w:ascii="彩虹粗仿宋" w:eastAsia="彩虹粗仿宋" w:hAnsi="宋体" w:cs="宋体" w:hint="eastAsia"/>
                <w:color w:val="000000"/>
              </w:rPr>
              <w:t>费、办公费年初预算与决算偏差较大</w:t>
            </w:r>
          </w:p>
        </w:tc>
      </w:tr>
      <w:tr w:rsidR="00977E85">
        <w:trPr>
          <w:trHeight w:val="577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动态调整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977E85">
        <w:trPr>
          <w:trHeight w:val="700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执行进度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spacing w:line="240" w:lineRule="exact"/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  <w:sz w:val="18"/>
                <w:szCs w:val="18"/>
              </w:rPr>
              <w:t>部分项目支出进展略有滞后，如市直党派成员活动经费</w:t>
            </w:r>
            <w:r w:rsidR="008A5765">
              <w:rPr>
                <w:rFonts w:ascii="彩虹粗仿宋" w:eastAsia="彩虹粗仿宋" w:hAnsi="宋体" w:cs="宋体" w:hint="eastAsia"/>
                <w:color w:val="000000"/>
                <w:kern w:val="2"/>
                <w:sz w:val="18"/>
                <w:szCs w:val="18"/>
              </w:rPr>
              <w:t>1—</w:t>
            </w:r>
            <w:r>
              <w:rPr>
                <w:rFonts w:ascii="彩虹粗仿宋" w:eastAsia="彩虹粗仿宋" w:hAnsi="宋体" w:cs="宋体" w:hint="eastAsia"/>
                <w:color w:val="000000"/>
                <w:kern w:val="2"/>
                <w:sz w:val="18"/>
                <w:szCs w:val="18"/>
              </w:rPr>
              <w:t>7月应执行数为17.9万元，实际执行数为16.39万元，支出进度达到91.6%</w:t>
            </w:r>
          </w:p>
        </w:tc>
      </w:tr>
      <w:tr w:rsidR="00977E85">
        <w:trPr>
          <w:trHeight w:val="465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完成结果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预算完成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9.87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0.13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预算执行进度为98.71% </w:t>
            </w:r>
          </w:p>
        </w:tc>
      </w:tr>
      <w:tr w:rsidR="00977E85">
        <w:trPr>
          <w:trHeight w:val="560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违规记录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977E85">
        <w:trPr>
          <w:trHeight w:val="653"/>
        </w:trPr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绩效结果应用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信息公开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自评公开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977E85">
        <w:trPr>
          <w:trHeight w:val="522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整改反馈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结果整改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</w:tr>
      <w:tr w:rsidR="00977E85">
        <w:trPr>
          <w:trHeight w:val="449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应用反馈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977E85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</w:tr>
      <w:tr w:rsidR="00977E85">
        <w:trPr>
          <w:trHeight w:val="549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自评准确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10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977E85">
        <w:trPr>
          <w:trHeight w:val="406"/>
        </w:trPr>
        <w:tc>
          <w:tcPr>
            <w:tcW w:w="4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得分</w:t>
            </w:r>
          </w:p>
        </w:tc>
        <w:tc>
          <w:tcPr>
            <w:tcW w:w="9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85" w:rsidRDefault="00BE234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94.87</w:t>
            </w:r>
          </w:p>
        </w:tc>
      </w:tr>
    </w:tbl>
    <w:p w:rsidR="00977E85" w:rsidRDefault="00977E85">
      <w:pPr>
        <w:pStyle w:val="a6"/>
        <w:widowControl w:val="0"/>
        <w:spacing w:before="0" w:after="0" w:line="360" w:lineRule="auto"/>
        <w:ind w:firstLineChars="200" w:firstLine="562"/>
        <w:jc w:val="both"/>
        <w:rPr>
          <w:rFonts w:ascii="彩虹楷体" w:eastAsia="彩虹楷体"/>
          <w:sz w:val="28"/>
        </w:rPr>
        <w:sectPr w:rsidR="00977E85">
          <w:pgSz w:w="16838" w:h="11905" w:orient="landscape"/>
          <w:pgMar w:top="1418" w:right="1531" w:bottom="1418" w:left="1531" w:header="851" w:footer="992" w:gutter="0"/>
          <w:pgNumType w:fmt="numberInDash"/>
          <w:cols w:space="720"/>
          <w:docGrid w:type="lines" w:linePitch="290"/>
        </w:sectPr>
      </w:pPr>
    </w:p>
    <w:p w:rsidR="00977E85" w:rsidRDefault="00BE234C">
      <w:pPr>
        <w:pStyle w:val="a6"/>
        <w:widowControl w:val="0"/>
        <w:spacing w:before="0" w:after="0" w:line="360" w:lineRule="auto"/>
        <w:ind w:firstLineChars="100" w:firstLine="241"/>
        <w:jc w:val="both"/>
        <w:outlineLvl w:val="2"/>
        <w:rPr>
          <w:rFonts w:ascii="彩虹楷体" w:eastAsia="彩虹楷体"/>
        </w:rPr>
      </w:pPr>
      <w:bookmarkStart w:id="18" w:name="_Toc55356971"/>
      <w:r>
        <w:rPr>
          <w:rFonts w:ascii="彩虹楷体" w:eastAsia="彩虹楷体" w:hint="eastAsia"/>
        </w:rPr>
        <w:lastRenderedPageBreak/>
        <w:t>（二）存在问题</w:t>
      </w:r>
      <w:bookmarkEnd w:id="18"/>
    </w:p>
    <w:p w:rsidR="00977E85" w:rsidRDefault="00BE234C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bookmarkStart w:id="19" w:name="_Toc55356972"/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1.预算编制方面</w:t>
      </w:r>
    </w:p>
    <w:p w:rsidR="00977E85" w:rsidRDefault="00BE234C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2019年年初，民建遂宁市委编制并提交了部门预算，市财政局于2019年4月给予了批复，并相应安排了预算资金。预算编制准确性有待提高，预算精细化程度不足，中期存在一定的调整。</w:t>
      </w:r>
    </w:p>
    <w:p w:rsidR="00977E85" w:rsidRDefault="00BE234C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2.预算执行方面</w:t>
      </w:r>
    </w:p>
    <w:p w:rsidR="00977E85" w:rsidRDefault="00BE234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2019年度，民建遂宁市委部门整体预算执行进度98.71%，略有结余。个别费用支出执行情况较预算有所偏差，如物业</w:t>
      </w:r>
      <w:r w:rsidR="00512E81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管理</w:t>
      </w:r>
      <w:bookmarkStart w:id="20" w:name="_GoBack"/>
      <w:bookmarkEnd w:id="20"/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费</w:t>
      </w:r>
      <w:r w:rsidR="0026392E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和印刷费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决算数超过预算数；项目支出进度较预算安排略微滞后，执行比例91.56%。</w:t>
      </w:r>
    </w:p>
    <w:p w:rsidR="00977E85" w:rsidRDefault="00BE234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r>
        <w:rPr>
          <w:rFonts w:ascii="彩虹楷体" w:eastAsia="彩虹楷体" w:hint="eastAsia"/>
        </w:rPr>
        <w:t>（三）改进建议</w:t>
      </w:r>
      <w:bookmarkEnd w:id="19"/>
    </w:p>
    <w:p w:rsidR="00977E85" w:rsidRDefault="00BE234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</w:t>
      </w:r>
      <w:r>
        <w:rPr>
          <w:rFonts w:ascii="彩虹粗仿宋" w:eastAsia="彩虹粗仿宋" w:hAnsi="彩虹粗仿宋" w:cs="彩虹粗仿宋" w:hint="eastAsia"/>
          <w:sz w:val="24"/>
        </w:rPr>
        <w:t>建议进一步加强绩效目标学习，进一步牢固树立绩效意识，提高工作实效，完善构建评价结果应用于预算绩效的良性互动长效机制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。</w:t>
      </w:r>
    </w:p>
    <w:p w:rsidR="00977E85" w:rsidRDefault="00BE234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2.部门加强资金管理，对事前、事中进行控制，对支出进行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合理把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控，积极开展年度中期评估，对下半年度资金做好计划，以提高资金使用效益。</w:t>
      </w:r>
    </w:p>
    <w:bookmarkEnd w:id="11"/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  <w:ind w:firstLine="480"/>
        <w:jc w:val="center"/>
      </w:pPr>
    </w:p>
    <w:p w:rsidR="00DA734A" w:rsidRDefault="00DA734A">
      <w:pPr>
        <w:spacing w:after="163" w:line="360" w:lineRule="auto"/>
        <w:ind w:firstLine="480"/>
        <w:jc w:val="center"/>
      </w:pPr>
    </w:p>
    <w:p w:rsidR="00DA734A" w:rsidRDefault="00DA734A">
      <w:pPr>
        <w:spacing w:after="163" w:line="360" w:lineRule="auto"/>
        <w:ind w:firstLine="480"/>
        <w:jc w:val="center"/>
      </w:pPr>
    </w:p>
    <w:p w:rsidR="00DA734A" w:rsidRDefault="00DA734A">
      <w:pPr>
        <w:spacing w:after="163" w:line="360" w:lineRule="auto"/>
        <w:ind w:firstLine="480"/>
        <w:jc w:val="center"/>
      </w:pPr>
    </w:p>
    <w:p w:rsidR="00977E85" w:rsidRDefault="00977E85">
      <w:pPr>
        <w:spacing w:after="163" w:line="360" w:lineRule="auto"/>
      </w:pPr>
    </w:p>
    <w:p w:rsidR="00977E85" w:rsidRDefault="00BE234C">
      <w:pPr>
        <w:spacing w:after="163" w:line="360" w:lineRule="auto"/>
        <w:ind w:firstLine="480"/>
        <w:jc w:val="center"/>
        <w:rPr>
          <w:rFonts w:ascii="彩虹黑体" w:eastAsia="彩虹黑体"/>
        </w:rPr>
      </w:pPr>
      <w:r>
        <w:fldChar w:fldCharType="begin"/>
      </w:r>
      <w:r>
        <w:instrText xml:space="preserve"> INCLUDEPICTURE "C:\\Users\\JYZX11\\AppData\\Local\\Temp\\ksohtml10280\\wps1.jpg"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1256665" cy="4029710"/>
            <wp:effectExtent l="0" t="0" r="8255" b="8890"/>
            <wp:docPr id="4" name="图片 2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wps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977E85" w:rsidRDefault="00BE234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977E85" w:rsidRDefault="00BE234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977E85" w:rsidRDefault="00BE234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977E85" w:rsidRDefault="00977E85">
      <w:pPr>
        <w:spacing w:after="163" w:line="360" w:lineRule="auto"/>
        <w:ind w:firstLine="480"/>
        <w:rPr>
          <w:rFonts w:ascii="彩虹黑体" w:eastAsia="彩虹黑体"/>
        </w:rPr>
      </w:pPr>
    </w:p>
    <w:p w:rsidR="00977E85" w:rsidRDefault="00977E85">
      <w:pPr>
        <w:spacing w:after="163" w:line="360" w:lineRule="auto"/>
        <w:ind w:firstLine="480"/>
        <w:rPr>
          <w:rFonts w:ascii="彩虹黑体" w:eastAsia="彩虹黑体"/>
        </w:rPr>
      </w:pPr>
    </w:p>
    <w:p w:rsidR="00977E85" w:rsidRDefault="00BE234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977E85" w:rsidRDefault="00BE234C">
      <w:pPr>
        <w:spacing w:after="163" w:line="360" w:lineRule="auto"/>
        <w:ind w:firstLine="48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4362450</wp:posOffset>
            </wp:positionH>
            <wp:positionV relativeFrom="line">
              <wp:posOffset>152400</wp:posOffset>
            </wp:positionV>
            <wp:extent cx="1333500" cy="1343025"/>
            <wp:effectExtent l="0" t="0" r="7620" b="13335"/>
            <wp:wrapSquare wrapText="bothSides"/>
            <wp:docPr id="3" name="图片 2" descr="wp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ps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彩虹黑体" w:eastAsia="彩虹黑体" w:hint="eastAsia"/>
        </w:rPr>
        <w:t xml:space="preserve"> </w:t>
      </w:r>
      <w:r>
        <w:rPr>
          <w:rFonts w:ascii="彩虹黑体" w:eastAsia="彩虹黑体" w:hint="eastAsia"/>
          <w:sz w:val="28"/>
          <w:szCs w:val="28"/>
        </w:rPr>
        <w:t>建银工程咨询有限责任公司四川分公司</w:t>
      </w:r>
    </w:p>
    <w:p w:rsidR="00977E85" w:rsidRDefault="00BE234C">
      <w:pPr>
        <w:spacing w:after="163" w:line="360" w:lineRule="auto"/>
        <w:ind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地址：成都市青羊区提督街88号</w:t>
      </w:r>
    </w:p>
    <w:p w:rsidR="00977E85" w:rsidRDefault="00BE234C">
      <w:pPr>
        <w:spacing w:after="163" w:line="360" w:lineRule="auto"/>
        <w:ind w:rightChars="-837" w:right="-1758" w:firstLineChars="200"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公司网址：http://www.ccbconsulting.com</w:t>
      </w:r>
    </w:p>
    <w:sectPr w:rsidR="00977E85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66" w:rsidRDefault="009B5066">
      <w:r>
        <w:separator/>
      </w:r>
    </w:p>
  </w:endnote>
  <w:endnote w:type="continuationSeparator" w:id="0">
    <w:p w:rsidR="009B5066" w:rsidRDefault="009B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楷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85" w:rsidRDefault="00977E85">
    <w:pPr>
      <w:pStyle w:val="a4"/>
      <w:jc w:val="center"/>
    </w:pPr>
  </w:p>
  <w:p w:rsidR="00977E85" w:rsidRDefault="00977E8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2215535"/>
    </w:sdtPr>
    <w:sdtEndPr/>
    <w:sdtContent>
      <w:p w:rsidR="00977E85" w:rsidRDefault="00BE23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E81" w:rsidRPr="00512E81">
          <w:rPr>
            <w:noProof/>
            <w:lang w:val="zh-CN"/>
          </w:rPr>
          <w:t>-</w:t>
        </w:r>
        <w:r w:rsidR="00512E81">
          <w:rPr>
            <w:noProof/>
          </w:rPr>
          <w:t xml:space="preserve"> 7 -</w:t>
        </w:r>
        <w:r>
          <w:fldChar w:fldCharType="end"/>
        </w:r>
      </w:p>
    </w:sdtContent>
  </w:sdt>
  <w:p w:rsidR="00977E85" w:rsidRDefault="00977E8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66" w:rsidRDefault="009B5066">
      <w:r>
        <w:separator/>
      </w:r>
    </w:p>
  </w:footnote>
  <w:footnote w:type="continuationSeparator" w:id="0">
    <w:p w:rsidR="009B5066" w:rsidRDefault="009B5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C3"/>
    <w:rsid w:val="00037C5A"/>
    <w:rsid w:val="00063542"/>
    <w:rsid w:val="0008120C"/>
    <w:rsid w:val="00092251"/>
    <w:rsid w:val="00097C88"/>
    <w:rsid w:val="000A457C"/>
    <w:rsid w:val="000E22C3"/>
    <w:rsid w:val="000E6A4B"/>
    <w:rsid w:val="000F07AE"/>
    <w:rsid w:val="0010233B"/>
    <w:rsid w:val="001068B1"/>
    <w:rsid w:val="00112F50"/>
    <w:rsid w:val="001151ED"/>
    <w:rsid w:val="0017391A"/>
    <w:rsid w:val="00173CE0"/>
    <w:rsid w:val="00191A00"/>
    <w:rsid w:val="00195F5C"/>
    <w:rsid w:val="001C698C"/>
    <w:rsid w:val="002212F0"/>
    <w:rsid w:val="002460FF"/>
    <w:rsid w:val="002544F1"/>
    <w:rsid w:val="00256EAF"/>
    <w:rsid w:val="0026392E"/>
    <w:rsid w:val="002A3CEF"/>
    <w:rsid w:val="002A6A25"/>
    <w:rsid w:val="002B72D7"/>
    <w:rsid w:val="002E3BF0"/>
    <w:rsid w:val="002F0371"/>
    <w:rsid w:val="0030062F"/>
    <w:rsid w:val="00314970"/>
    <w:rsid w:val="00321A26"/>
    <w:rsid w:val="003248C7"/>
    <w:rsid w:val="00370587"/>
    <w:rsid w:val="003758B7"/>
    <w:rsid w:val="003A1408"/>
    <w:rsid w:val="003A1CDE"/>
    <w:rsid w:val="003A46A7"/>
    <w:rsid w:val="003B17C6"/>
    <w:rsid w:val="004371FC"/>
    <w:rsid w:val="00455F15"/>
    <w:rsid w:val="00480DE2"/>
    <w:rsid w:val="004B06F2"/>
    <w:rsid w:val="004B12DA"/>
    <w:rsid w:val="005129E6"/>
    <w:rsid w:val="00512E81"/>
    <w:rsid w:val="00564CCD"/>
    <w:rsid w:val="00573B39"/>
    <w:rsid w:val="00577B3F"/>
    <w:rsid w:val="00583DF8"/>
    <w:rsid w:val="00590630"/>
    <w:rsid w:val="005A0F96"/>
    <w:rsid w:val="005B58A8"/>
    <w:rsid w:val="005C1A3F"/>
    <w:rsid w:val="005C5190"/>
    <w:rsid w:val="005C6675"/>
    <w:rsid w:val="005F053B"/>
    <w:rsid w:val="0061256E"/>
    <w:rsid w:val="00661F1B"/>
    <w:rsid w:val="00662214"/>
    <w:rsid w:val="00662692"/>
    <w:rsid w:val="006B10C4"/>
    <w:rsid w:val="006E5097"/>
    <w:rsid w:val="006E69DA"/>
    <w:rsid w:val="00711BC9"/>
    <w:rsid w:val="00722B46"/>
    <w:rsid w:val="007363FB"/>
    <w:rsid w:val="00740CE5"/>
    <w:rsid w:val="007869E2"/>
    <w:rsid w:val="007B6303"/>
    <w:rsid w:val="007F43F2"/>
    <w:rsid w:val="00826310"/>
    <w:rsid w:val="0084645E"/>
    <w:rsid w:val="008914A2"/>
    <w:rsid w:val="00894494"/>
    <w:rsid w:val="008A3A0A"/>
    <w:rsid w:val="008A5765"/>
    <w:rsid w:val="008D2004"/>
    <w:rsid w:val="00900B12"/>
    <w:rsid w:val="00907F2D"/>
    <w:rsid w:val="0091066E"/>
    <w:rsid w:val="00910CBD"/>
    <w:rsid w:val="009472D3"/>
    <w:rsid w:val="0096491E"/>
    <w:rsid w:val="00972B83"/>
    <w:rsid w:val="00975D0E"/>
    <w:rsid w:val="00977E85"/>
    <w:rsid w:val="0098130C"/>
    <w:rsid w:val="009B5066"/>
    <w:rsid w:val="009B7CEE"/>
    <w:rsid w:val="009D46A7"/>
    <w:rsid w:val="009D57BC"/>
    <w:rsid w:val="009E60F6"/>
    <w:rsid w:val="00A30659"/>
    <w:rsid w:val="00A3361E"/>
    <w:rsid w:val="00A513F2"/>
    <w:rsid w:val="00A6591A"/>
    <w:rsid w:val="00A80E94"/>
    <w:rsid w:val="00AB096E"/>
    <w:rsid w:val="00AB1034"/>
    <w:rsid w:val="00AB61EE"/>
    <w:rsid w:val="00AD0296"/>
    <w:rsid w:val="00AE0B3E"/>
    <w:rsid w:val="00B01B44"/>
    <w:rsid w:val="00B51ED1"/>
    <w:rsid w:val="00B67F4E"/>
    <w:rsid w:val="00B7217A"/>
    <w:rsid w:val="00B74593"/>
    <w:rsid w:val="00B859BC"/>
    <w:rsid w:val="00BE234C"/>
    <w:rsid w:val="00BE256B"/>
    <w:rsid w:val="00BF640E"/>
    <w:rsid w:val="00C15990"/>
    <w:rsid w:val="00C52471"/>
    <w:rsid w:val="00C74227"/>
    <w:rsid w:val="00C9236E"/>
    <w:rsid w:val="00CA376B"/>
    <w:rsid w:val="00CF7612"/>
    <w:rsid w:val="00D008B0"/>
    <w:rsid w:val="00D10BF0"/>
    <w:rsid w:val="00D34FF5"/>
    <w:rsid w:val="00D51976"/>
    <w:rsid w:val="00D94E71"/>
    <w:rsid w:val="00DA734A"/>
    <w:rsid w:val="00DD3208"/>
    <w:rsid w:val="00DF0DEB"/>
    <w:rsid w:val="00E103C5"/>
    <w:rsid w:val="00EA203A"/>
    <w:rsid w:val="00EB1EDC"/>
    <w:rsid w:val="00EB2057"/>
    <w:rsid w:val="00EC4B49"/>
    <w:rsid w:val="00ED0B29"/>
    <w:rsid w:val="00EF2E26"/>
    <w:rsid w:val="00EF3037"/>
    <w:rsid w:val="00F40C1D"/>
    <w:rsid w:val="00F5760D"/>
    <w:rsid w:val="00F82995"/>
    <w:rsid w:val="00FA0564"/>
    <w:rsid w:val="073019DF"/>
    <w:rsid w:val="078642E9"/>
    <w:rsid w:val="080345BF"/>
    <w:rsid w:val="0A5E4C7E"/>
    <w:rsid w:val="0AC030A4"/>
    <w:rsid w:val="0D5E7A66"/>
    <w:rsid w:val="0F0D0664"/>
    <w:rsid w:val="0FA41905"/>
    <w:rsid w:val="12B6456B"/>
    <w:rsid w:val="134B296B"/>
    <w:rsid w:val="238B25E1"/>
    <w:rsid w:val="241D2CF1"/>
    <w:rsid w:val="27401E21"/>
    <w:rsid w:val="28807A65"/>
    <w:rsid w:val="2AC90245"/>
    <w:rsid w:val="2FF50907"/>
    <w:rsid w:val="339B46D3"/>
    <w:rsid w:val="33BB1A66"/>
    <w:rsid w:val="3A232E5A"/>
    <w:rsid w:val="3F1414EC"/>
    <w:rsid w:val="43F44D1B"/>
    <w:rsid w:val="48EC157E"/>
    <w:rsid w:val="4A7634FB"/>
    <w:rsid w:val="4B2D4B06"/>
    <w:rsid w:val="4CDF759F"/>
    <w:rsid w:val="502A7153"/>
    <w:rsid w:val="5457640A"/>
    <w:rsid w:val="554122B2"/>
    <w:rsid w:val="5F206181"/>
    <w:rsid w:val="602423E9"/>
    <w:rsid w:val="68727A4A"/>
    <w:rsid w:val="6DEA328D"/>
    <w:rsid w:val="799A6B43"/>
    <w:rsid w:val="7F5C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character" w:styleId="a7">
    <w:name w:val="page number"/>
    <w:basedOn w:val="a0"/>
  </w:style>
  <w:style w:type="character" w:styleId="a8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character" w:styleId="a7">
    <w:name w:val="page number"/>
    <w:basedOn w:val="a0"/>
  </w:style>
  <w:style w:type="character" w:styleId="a8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E6E584-FA18-4587-9382-6CCDC7559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806</Words>
  <Characters>4600</Characters>
  <Application>Microsoft Office Word</Application>
  <DocSecurity>0</DocSecurity>
  <Lines>38</Lines>
  <Paragraphs>10</Paragraphs>
  <ScaleCrop>false</ScaleCrop>
  <Company>Windsoft</Company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lg</cp:lastModifiedBy>
  <cp:revision>23</cp:revision>
  <dcterms:created xsi:type="dcterms:W3CDTF">2020-11-13T07:12:00Z</dcterms:created>
  <dcterms:modified xsi:type="dcterms:W3CDTF">2020-11-21T20:46:00Z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